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13E3" w14:textId="6EDEE3A6" w:rsidR="005305CF" w:rsidRDefault="005305CF" w:rsidP="00E23145">
      <w:pPr>
        <w:ind w:right="119"/>
        <w:rPr>
          <w:i/>
          <w:sz w:val="20"/>
        </w:rPr>
      </w:pPr>
    </w:p>
    <w:p w14:paraId="77D055B5" w14:textId="0E74EB15" w:rsidR="005305CF" w:rsidRDefault="005305CF" w:rsidP="00E23145">
      <w:pPr>
        <w:ind w:right="119"/>
        <w:rPr>
          <w:i/>
          <w:sz w:val="20"/>
        </w:rPr>
      </w:pPr>
    </w:p>
    <w:p w14:paraId="48E44609" w14:textId="77777777" w:rsidR="005305CF" w:rsidRDefault="005305CF" w:rsidP="005305CF">
      <w:pPr>
        <w:jc w:val="center"/>
        <w:rPr>
          <w:sz w:val="28"/>
          <w:szCs w:val="28"/>
          <w:lang w:eastAsia="zh-TW"/>
        </w:rPr>
      </w:pPr>
      <w:r>
        <w:rPr>
          <w:b/>
          <w:sz w:val="28"/>
          <w:szCs w:val="28"/>
          <w:u w:val="single"/>
          <w:lang w:eastAsia="zh-TW"/>
        </w:rPr>
        <w:t>Subject Description Form</w:t>
      </w:r>
    </w:p>
    <w:p w14:paraId="785F9711" w14:textId="77777777" w:rsidR="005305CF" w:rsidRDefault="005305CF" w:rsidP="005305CF">
      <w:pPr>
        <w:rPr>
          <w:lang w:eastAsia="zh-TW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7860"/>
      </w:tblGrid>
      <w:tr w:rsidR="005305CF" w14:paraId="460B45FA" w14:textId="77777777" w:rsidTr="00AA0A99">
        <w:tc>
          <w:tcPr>
            <w:tcW w:w="2340" w:type="dxa"/>
          </w:tcPr>
          <w:p w14:paraId="0633522D" w14:textId="77777777" w:rsidR="005305CF" w:rsidRDefault="005305CF" w:rsidP="00AA0A99">
            <w:pPr>
              <w:spacing w:before="120" w:after="120"/>
              <w:rPr>
                <w:b/>
              </w:rPr>
            </w:pPr>
            <w:r>
              <w:rPr>
                <w:b/>
              </w:rPr>
              <w:t>Subject Code</w:t>
            </w:r>
          </w:p>
        </w:tc>
        <w:tc>
          <w:tcPr>
            <w:tcW w:w="7860" w:type="dxa"/>
          </w:tcPr>
          <w:p w14:paraId="79E44A82" w14:textId="1065E86C" w:rsidR="005305CF" w:rsidRDefault="009131FF" w:rsidP="00AA0A99">
            <w:pPr>
              <w:spacing w:before="120" w:after="120"/>
              <w:rPr>
                <w:lang w:eastAsia="zh-TW"/>
              </w:rPr>
            </w:pPr>
            <w:r w:rsidRPr="009131FF">
              <w:t>ENG1004</w:t>
            </w:r>
          </w:p>
        </w:tc>
      </w:tr>
      <w:tr w:rsidR="005305CF" w14:paraId="134CC311" w14:textId="77777777" w:rsidTr="00AA0A99">
        <w:tc>
          <w:tcPr>
            <w:tcW w:w="2340" w:type="dxa"/>
          </w:tcPr>
          <w:p w14:paraId="39885F43" w14:textId="77777777" w:rsidR="005305CF" w:rsidRDefault="005305CF" w:rsidP="00AA0A99">
            <w:pPr>
              <w:spacing w:before="120" w:after="120"/>
              <w:rPr>
                <w:b/>
              </w:rPr>
            </w:pPr>
            <w:r>
              <w:rPr>
                <w:b/>
              </w:rPr>
              <w:t>Subject Title</w:t>
            </w:r>
          </w:p>
        </w:tc>
        <w:tc>
          <w:tcPr>
            <w:tcW w:w="7860" w:type="dxa"/>
          </w:tcPr>
          <w:p w14:paraId="3FBB6635" w14:textId="789FEAFF" w:rsidR="005305CF" w:rsidRDefault="0008378D" w:rsidP="00AA0A99">
            <w:pPr>
              <w:spacing w:before="120" w:after="120"/>
            </w:pPr>
            <w:r>
              <w:t xml:space="preserve">Engineering </w:t>
            </w:r>
            <w:r w:rsidR="005305CF">
              <w:t>Professionals in Society I</w:t>
            </w:r>
          </w:p>
        </w:tc>
      </w:tr>
      <w:tr w:rsidR="005305CF" w14:paraId="056C1D76" w14:textId="77777777" w:rsidTr="00AA0A99">
        <w:tc>
          <w:tcPr>
            <w:tcW w:w="2340" w:type="dxa"/>
          </w:tcPr>
          <w:p w14:paraId="02E4256B" w14:textId="77777777" w:rsidR="005305CF" w:rsidRDefault="005305CF" w:rsidP="00AA0A99">
            <w:pPr>
              <w:spacing w:before="120" w:after="120"/>
              <w:rPr>
                <w:b/>
              </w:rPr>
            </w:pPr>
            <w:r>
              <w:rPr>
                <w:b/>
              </w:rPr>
              <w:t>Credit Value</w:t>
            </w:r>
          </w:p>
        </w:tc>
        <w:tc>
          <w:tcPr>
            <w:tcW w:w="7860" w:type="dxa"/>
          </w:tcPr>
          <w:p w14:paraId="057C1CDE" w14:textId="77777777" w:rsidR="005305CF" w:rsidRDefault="005305CF" w:rsidP="00AA0A99">
            <w:pPr>
              <w:spacing w:before="120" w:after="120"/>
            </w:pPr>
            <w:r>
              <w:t>1</w:t>
            </w:r>
          </w:p>
        </w:tc>
      </w:tr>
      <w:tr w:rsidR="005305CF" w14:paraId="3F033D63" w14:textId="77777777" w:rsidTr="00AA0A99">
        <w:tc>
          <w:tcPr>
            <w:tcW w:w="2340" w:type="dxa"/>
          </w:tcPr>
          <w:p w14:paraId="1FB2F3CE" w14:textId="77777777" w:rsidR="005305CF" w:rsidRDefault="005305CF" w:rsidP="00AA0A99">
            <w:pPr>
              <w:spacing w:before="120" w:after="12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7860" w:type="dxa"/>
          </w:tcPr>
          <w:p w14:paraId="2F3FD60B" w14:textId="77777777" w:rsidR="005305CF" w:rsidRDefault="005305CF" w:rsidP="00AA0A99">
            <w:pPr>
              <w:spacing w:before="120" w:after="120"/>
            </w:pPr>
            <w:r>
              <w:t>1</w:t>
            </w:r>
          </w:p>
        </w:tc>
      </w:tr>
      <w:tr w:rsidR="005305CF" w14:paraId="0524BFA4" w14:textId="77777777" w:rsidTr="00AA0A99">
        <w:tc>
          <w:tcPr>
            <w:tcW w:w="2340" w:type="dxa"/>
          </w:tcPr>
          <w:p w14:paraId="7A56CD30" w14:textId="77777777" w:rsidR="005305CF" w:rsidRDefault="005305CF" w:rsidP="00AA0A99">
            <w:pPr>
              <w:snapToGrid w:val="0"/>
              <w:spacing w:before="80"/>
              <w:rPr>
                <w:b/>
              </w:rPr>
            </w:pPr>
            <w:r>
              <w:rPr>
                <w:b/>
              </w:rPr>
              <w:t>Pre-requisite/</w:t>
            </w:r>
            <w:r>
              <w:rPr>
                <w:b/>
              </w:rPr>
              <w:br/>
              <w:t>Co-requisite/</w:t>
            </w:r>
            <w:r>
              <w:rPr>
                <w:b/>
              </w:rPr>
              <w:br/>
              <w:t>Exclusion</w:t>
            </w:r>
          </w:p>
        </w:tc>
        <w:tc>
          <w:tcPr>
            <w:tcW w:w="7860" w:type="dxa"/>
          </w:tcPr>
          <w:p w14:paraId="6F0A9C8D" w14:textId="77777777" w:rsidR="005305CF" w:rsidRDefault="005305CF" w:rsidP="00AA0A99">
            <w:pPr>
              <w:tabs>
                <w:tab w:val="left" w:pos="656"/>
                <w:tab w:val="left" w:pos="2456"/>
                <w:tab w:val="left" w:pos="3896"/>
              </w:tabs>
              <w:spacing w:before="120" w:after="120"/>
              <w:jc w:val="both"/>
              <w:rPr>
                <w:lang w:eastAsia="zh-TW"/>
              </w:rPr>
            </w:pPr>
            <w:r>
              <w:t>Nil</w:t>
            </w:r>
          </w:p>
        </w:tc>
      </w:tr>
      <w:tr w:rsidR="005305CF" w14:paraId="1CC65FCE" w14:textId="77777777" w:rsidTr="00AA0A99">
        <w:tc>
          <w:tcPr>
            <w:tcW w:w="2340" w:type="dxa"/>
          </w:tcPr>
          <w:p w14:paraId="6DD8B823" w14:textId="77777777" w:rsidR="005305CF" w:rsidRDefault="005305CF" w:rsidP="00AA0A99">
            <w:pPr>
              <w:spacing w:before="120" w:after="120"/>
              <w:rPr>
                <w:b/>
              </w:rPr>
            </w:pPr>
            <w:r>
              <w:rPr>
                <w:b/>
              </w:rPr>
              <w:t>Objectives</w:t>
            </w:r>
          </w:p>
        </w:tc>
        <w:tc>
          <w:tcPr>
            <w:tcW w:w="7860" w:type="dxa"/>
          </w:tcPr>
          <w:p w14:paraId="2E1D1472" w14:textId="77777777" w:rsidR="005305CF" w:rsidRDefault="005305CF" w:rsidP="00AA0A99">
            <w:pPr>
              <w:spacing w:before="40" w:after="40"/>
              <w:jc w:val="both"/>
            </w:pPr>
            <w:r>
              <w:rPr>
                <w:rFonts w:hint="eastAsia"/>
                <w:lang w:eastAsia="zh-TW"/>
              </w:rPr>
              <w:t>T</w:t>
            </w:r>
            <w:r>
              <w:t>hrough a series of seminars, this subject enables students to understand:</w:t>
            </w:r>
          </w:p>
          <w:p w14:paraId="2CA62B76" w14:textId="77777777" w:rsidR="005305CF" w:rsidRDefault="005305CF" w:rsidP="005305CF">
            <w:pPr>
              <w:widowControl/>
              <w:numPr>
                <w:ilvl w:val="0"/>
                <w:numId w:val="7"/>
              </w:numPr>
              <w:autoSpaceDE/>
              <w:autoSpaceDN/>
              <w:spacing w:before="40" w:after="40"/>
              <w:jc w:val="both"/>
            </w:pPr>
            <w:r>
              <w:t>the features and career development opportunities of various engineering disciplines</w:t>
            </w:r>
          </w:p>
          <w:p w14:paraId="7DDE23BB" w14:textId="77777777" w:rsidR="005305CF" w:rsidRDefault="005305CF" w:rsidP="005305CF">
            <w:pPr>
              <w:widowControl/>
              <w:numPr>
                <w:ilvl w:val="0"/>
                <w:numId w:val="7"/>
              </w:numPr>
              <w:autoSpaceDE/>
              <w:autoSpaceDN/>
              <w:spacing w:before="40" w:after="40"/>
              <w:jc w:val="both"/>
            </w:pPr>
            <w:r>
              <w:t>the responsibilities and accountability of engineering professionals</w:t>
            </w:r>
          </w:p>
          <w:p w14:paraId="4E0DC348" w14:textId="77777777" w:rsidR="005305CF" w:rsidRDefault="005305CF" w:rsidP="005305CF">
            <w:pPr>
              <w:widowControl/>
              <w:numPr>
                <w:ilvl w:val="0"/>
                <w:numId w:val="7"/>
              </w:numPr>
              <w:autoSpaceDE/>
              <w:autoSpaceDN/>
              <w:spacing w:before="40" w:after="40"/>
              <w:jc w:val="both"/>
            </w:pPr>
            <w:r>
              <w:t>the organizational activities of professional engineering institutions</w:t>
            </w:r>
          </w:p>
          <w:p w14:paraId="01096EDC" w14:textId="77777777" w:rsidR="005305CF" w:rsidRDefault="005305CF" w:rsidP="00AA0A99">
            <w:pPr>
              <w:spacing w:before="40" w:after="40"/>
              <w:jc w:val="both"/>
            </w:pPr>
            <w:r>
              <w:t>Furthermore, it will also:</w:t>
            </w:r>
          </w:p>
          <w:p w14:paraId="61EEAF42" w14:textId="77777777" w:rsidR="005305CF" w:rsidRDefault="005305CF" w:rsidP="005305CF">
            <w:pPr>
              <w:widowControl/>
              <w:numPr>
                <w:ilvl w:val="0"/>
                <w:numId w:val="7"/>
              </w:numPr>
              <w:autoSpaceDE/>
              <w:autoSpaceDN/>
              <w:spacing w:before="40" w:after="40"/>
              <w:jc w:val="both"/>
            </w:pPr>
            <w:r>
              <w:t>Enthuse students about their major study in engineering as well as engage them in active, autonomous learning and deep understanding</w:t>
            </w:r>
          </w:p>
        </w:tc>
      </w:tr>
      <w:tr w:rsidR="005305CF" w14:paraId="463A1CCF" w14:textId="77777777" w:rsidTr="00AA0A99">
        <w:trPr>
          <w:trHeight w:val="1893"/>
        </w:trPr>
        <w:tc>
          <w:tcPr>
            <w:tcW w:w="2340" w:type="dxa"/>
          </w:tcPr>
          <w:p w14:paraId="01562533" w14:textId="77777777" w:rsidR="005305CF" w:rsidRDefault="005305CF" w:rsidP="00AA0A99">
            <w:pPr>
              <w:spacing w:before="120" w:after="120"/>
              <w:rPr>
                <w:i/>
              </w:rPr>
            </w:pPr>
            <w:r>
              <w:rPr>
                <w:b/>
              </w:rPr>
              <w:t>Intended Learning Outcomes</w:t>
            </w:r>
          </w:p>
        </w:tc>
        <w:tc>
          <w:tcPr>
            <w:tcW w:w="7860" w:type="dxa"/>
          </w:tcPr>
          <w:p w14:paraId="60DDD451" w14:textId="77777777" w:rsidR="005305CF" w:rsidRDefault="005305CF" w:rsidP="00AA0A99">
            <w:pPr>
              <w:tabs>
                <w:tab w:val="left" w:pos="387"/>
              </w:tabs>
            </w:pPr>
            <w:r w:rsidRPr="001B0469">
              <w:t>Upon completion of the subject, students will be able to:</w:t>
            </w:r>
          </w:p>
          <w:p w14:paraId="39270982" w14:textId="77777777" w:rsidR="005305CF" w:rsidRDefault="005305CF" w:rsidP="00AA0A99">
            <w:pPr>
              <w:tabs>
                <w:tab w:val="left" w:pos="387"/>
              </w:tabs>
            </w:pPr>
          </w:p>
          <w:p w14:paraId="29A49C9D" w14:textId="77777777" w:rsidR="005305CF" w:rsidRPr="001B0469" w:rsidRDefault="005305CF" w:rsidP="005305CF">
            <w:pPr>
              <w:widowControl/>
              <w:numPr>
                <w:ilvl w:val="0"/>
                <w:numId w:val="16"/>
              </w:numPr>
              <w:tabs>
                <w:tab w:val="left" w:pos="387"/>
              </w:tabs>
              <w:autoSpaceDE/>
              <w:autoSpaceDN/>
              <w:jc w:val="both"/>
            </w:pPr>
            <w:r w:rsidRPr="001B0469">
              <w:t xml:space="preserve">Describe the role and impact of </w:t>
            </w:r>
            <w:r>
              <w:t>engineers</w:t>
            </w:r>
            <w:r w:rsidRPr="001B0469">
              <w:t xml:space="preserve"> </w:t>
            </w:r>
            <w:r>
              <w:t>in a variety of</w:t>
            </w:r>
            <w:r w:rsidRPr="001B0469">
              <w:t xml:space="preserve"> professional fields in addressing contemporary societal needs at local, national and global levels</w:t>
            </w:r>
          </w:p>
          <w:p w14:paraId="2B190B74" w14:textId="77777777" w:rsidR="005305CF" w:rsidRPr="001B0469" w:rsidRDefault="005305CF" w:rsidP="00AA0A99">
            <w:pPr>
              <w:tabs>
                <w:tab w:val="left" w:pos="387"/>
              </w:tabs>
              <w:ind w:left="387"/>
            </w:pPr>
          </w:p>
          <w:p w14:paraId="7AD92180" w14:textId="77777777" w:rsidR="005305CF" w:rsidRPr="001B0469" w:rsidRDefault="005305CF" w:rsidP="005305CF">
            <w:pPr>
              <w:widowControl/>
              <w:numPr>
                <w:ilvl w:val="0"/>
                <w:numId w:val="16"/>
              </w:numPr>
              <w:tabs>
                <w:tab w:val="left" w:pos="387"/>
              </w:tabs>
              <w:autoSpaceDE/>
              <w:autoSpaceDN/>
              <w:jc w:val="both"/>
            </w:pPr>
            <w:r w:rsidRPr="001B0469">
              <w:t xml:space="preserve">Identify the qualities and competences required to become a successful professional </w:t>
            </w:r>
            <w:r>
              <w:t>engineer</w:t>
            </w:r>
            <w:r w:rsidRPr="001B0469">
              <w:t xml:space="preserve"> and explain why they are important for professional work</w:t>
            </w:r>
          </w:p>
          <w:p w14:paraId="76E72CD3" w14:textId="77777777" w:rsidR="005305CF" w:rsidRPr="001B0469" w:rsidRDefault="005305CF" w:rsidP="00AA0A99">
            <w:pPr>
              <w:tabs>
                <w:tab w:val="left" w:pos="387"/>
              </w:tabs>
              <w:jc w:val="both"/>
            </w:pPr>
          </w:p>
          <w:p w14:paraId="1DAF8846" w14:textId="77777777" w:rsidR="005305CF" w:rsidRDefault="005305CF" w:rsidP="005305CF">
            <w:pPr>
              <w:widowControl/>
              <w:numPr>
                <w:ilvl w:val="0"/>
                <w:numId w:val="16"/>
              </w:numPr>
              <w:tabs>
                <w:tab w:val="left" w:pos="387"/>
              </w:tabs>
              <w:autoSpaceDE/>
              <w:autoSpaceDN/>
              <w:jc w:val="both"/>
            </w:pPr>
            <w:r w:rsidRPr="001B0469">
              <w:t>Reflect on their professional aspirations and develop a personal development plan for pursuing their career goals</w:t>
            </w:r>
            <w:r>
              <w:t xml:space="preserve"> in Engineering</w:t>
            </w:r>
          </w:p>
          <w:p w14:paraId="720BB560" w14:textId="77777777" w:rsidR="005305CF" w:rsidRDefault="005305CF" w:rsidP="00AA0A99">
            <w:pPr>
              <w:tabs>
                <w:tab w:val="left" w:pos="387"/>
              </w:tabs>
              <w:jc w:val="both"/>
            </w:pPr>
          </w:p>
        </w:tc>
      </w:tr>
      <w:tr w:rsidR="005305CF" w14:paraId="4BB8957A" w14:textId="77777777" w:rsidTr="00AA0A99">
        <w:trPr>
          <w:trHeight w:val="2683"/>
        </w:trPr>
        <w:tc>
          <w:tcPr>
            <w:tcW w:w="2340" w:type="dxa"/>
          </w:tcPr>
          <w:p w14:paraId="3E7011A2" w14:textId="77777777" w:rsidR="005305CF" w:rsidRDefault="005305CF" w:rsidP="00AA0A99">
            <w:pPr>
              <w:spacing w:before="120" w:after="120"/>
              <w:rPr>
                <w:b/>
              </w:rPr>
            </w:pPr>
            <w:r>
              <w:rPr>
                <w:b/>
              </w:rPr>
              <w:t>Subject Synopsis/ Indicative Syllabus</w:t>
            </w:r>
          </w:p>
        </w:tc>
        <w:tc>
          <w:tcPr>
            <w:tcW w:w="7860" w:type="dxa"/>
          </w:tcPr>
          <w:p w14:paraId="6C6144EC" w14:textId="77777777" w:rsidR="005305CF" w:rsidRDefault="005305CF" w:rsidP="005305CF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autoSpaceDE/>
              <w:autoSpaceDN/>
              <w:ind w:left="385" w:hanging="385"/>
              <w:rPr>
                <w:u w:val="single"/>
              </w:rPr>
            </w:pPr>
            <w:r>
              <w:rPr>
                <w:u w:val="single"/>
              </w:rPr>
              <w:t>Features and Career Development Opportunities of</w:t>
            </w:r>
            <w:r>
              <w:rPr>
                <w:u w:val="single"/>
                <w:lang w:eastAsia="zh-TW"/>
              </w:rPr>
              <w:t xml:space="preserve"> Various Disciplines in Engineering</w:t>
            </w:r>
          </w:p>
          <w:p w14:paraId="6A9E001A" w14:textId="77777777" w:rsidR="005305CF" w:rsidRDefault="005305CF" w:rsidP="00AA0A99">
            <w:pPr>
              <w:tabs>
                <w:tab w:val="left" w:pos="0"/>
              </w:tabs>
              <w:ind w:left="385"/>
              <w:jc w:val="both"/>
              <w:rPr>
                <w:lang w:eastAsia="zh-TW"/>
              </w:rPr>
            </w:pPr>
            <w:r>
              <w:rPr>
                <w:lang w:eastAsia="zh-TW"/>
              </w:rPr>
              <w:t>Features and career development opportunities of the disciplines under the Engineering Faculty, namely: Aeronautical and Aviation Engineering, Biomedical Engineering, Electrical and Electronic Engineering, Industrial and Systems Engineering, and Mechanical Engineering</w:t>
            </w:r>
          </w:p>
          <w:p w14:paraId="4A76D4B7" w14:textId="77777777" w:rsidR="005305CF" w:rsidRDefault="005305CF" w:rsidP="00AA0A99">
            <w:pPr>
              <w:tabs>
                <w:tab w:val="left" w:pos="0"/>
              </w:tabs>
              <w:ind w:left="385"/>
            </w:pPr>
          </w:p>
          <w:p w14:paraId="4BCB4034" w14:textId="77777777" w:rsidR="005305CF" w:rsidRDefault="005305CF" w:rsidP="005305CF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autoSpaceDE/>
              <w:autoSpaceDN/>
              <w:ind w:left="385" w:hanging="385"/>
              <w:rPr>
                <w:u w:val="single"/>
              </w:rPr>
            </w:pPr>
            <w:r>
              <w:rPr>
                <w:u w:val="single"/>
                <w:lang w:eastAsia="zh-TW"/>
              </w:rPr>
              <w:t>Responsibilities and Accountability of Engineering Professionals</w:t>
            </w:r>
          </w:p>
          <w:p w14:paraId="4F6AEEEB" w14:textId="77777777" w:rsidR="005305CF" w:rsidRDefault="005305CF" w:rsidP="00AA0A99">
            <w:pPr>
              <w:ind w:left="385"/>
              <w:jc w:val="both"/>
            </w:pPr>
            <w:r>
              <w:rPr>
                <w:lang w:eastAsia="zh-TW"/>
              </w:rPr>
              <w:t xml:space="preserve">Responsibilities and accountability of the engineering professionals in </w:t>
            </w:r>
            <w:r>
              <w:t>social, political, legal, economic, safety and health, and environmental domains; professional ethics, the work of the Independent Commission Against Corruption (ICAC), the work of the Environmental Protection Department</w:t>
            </w:r>
          </w:p>
          <w:p w14:paraId="545C9A04" w14:textId="77777777" w:rsidR="005305CF" w:rsidRDefault="005305CF" w:rsidP="00AA0A99">
            <w:pPr>
              <w:ind w:left="385"/>
              <w:jc w:val="both"/>
            </w:pPr>
          </w:p>
          <w:p w14:paraId="7F8D73D3" w14:textId="77777777" w:rsidR="005305CF" w:rsidRDefault="005305CF" w:rsidP="005305CF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autoSpaceDE/>
              <w:autoSpaceDN/>
              <w:ind w:left="385" w:hanging="385"/>
              <w:jc w:val="both"/>
              <w:rPr>
                <w:u w:val="single"/>
              </w:rPr>
            </w:pPr>
            <w:r>
              <w:rPr>
                <w:u w:val="single"/>
              </w:rPr>
              <w:t>Professional Institutions</w:t>
            </w:r>
          </w:p>
          <w:p w14:paraId="70A166D3" w14:textId="77777777" w:rsidR="005305CF" w:rsidRDefault="005305CF" w:rsidP="00AA0A99">
            <w:pPr>
              <w:tabs>
                <w:tab w:val="left" w:pos="0"/>
              </w:tabs>
              <w:ind w:left="385"/>
              <w:jc w:val="both"/>
            </w:pPr>
            <w:r>
              <w:t>International engineering agreements and the organizational activities of professional engineering institutions, professional accreditation, qualifications and criteria of engineering professionals</w:t>
            </w:r>
          </w:p>
          <w:p w14:paraId="7AF2B28C" w14:textId="77777777" w:rsidR="005305CF" w:rsidRDefault="005305CF" w:rsidP="00AA0A99">
            <w:pPr>
              <w:pStyle w:val="ListParagraph"/>
              <w:ind w:left="0"/>
              <w:rPr>
                <w:lang w:eastAsia="zh-TW"/>
              </w:rPr>
            </w:pPr>
          </w:p>
        </w:tc>
      </w:tr>
    </w:tbl>
    <w:p w14:paraId="034B4377" w14:textId="77777777" w:rsidR="005305CF" w:rsidRDefault="005305CF" w:rsidP="005305CF"/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6591"/>
        <w:gridCol w:w="1269"/>
      </w:tblGrid>
      <w:tr w:rsidR="005305CF" w14:paraId="1D7750BF" w14:textId="77777777" w:rsidTr="00AA0A99">
        <w:trPr>
          <w:trHeight w:val="2826"/>
        </w:trPr>
        <w:tc>
          <w:tcPr>
            <w:tcW w:w="2340" w:type="dxa"/>
          </w:tcPr>
          <w:p w14:paraId="7967CD0C" w14:textId="77777777" w:rsidR="005305CF" w:rsidRDefault="005305CF" w:rsidP="00AA0A99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 xml:space="preserve">Teaching/Learning Methodology </w:t>
            </w:r>
          </w:p>
          <w:p w14:paraId="1E3234A2" w14:textId="77777777" w:rsidR="005305CF" w:rsidRDefault="005305CF" w:rsidP="00AA0A99">
            <w:pPr>
              <w:spacing w:before="120" w:after="120"/>
              <w:jc w:val="both"/>
              <w:rPr>
                <w:i/>
              </w:rPr>
            </w:pPr>
          </w:p>
        </w:tc>
        <w:tc>
          <w:tcPr>
            <w:tcW w:w="7860" w:type="dxa"/>
            <w:gridSpan w:val="2"/>
            <w:tcBorders>
              <w:bottom w:val="single" w:sz="4" w:space="0" w:color="auto"/>
            </w:tcBorders>
          </w:tcPr>
          <w:p w14:paraId="0719EB38" w14:textId="73E353AB" w:rsidR="005305CF" w:rsidRDefault="005305CF" w:rsidP="0072404E">
            <w:pPr>
              <w:pStyle w:val="ListParagraph"/>
              <w:spacing w:before="80" w:after="80"/>
              <w:ind w:left="0" w:right="-62" w:hanging="12"/>
            </w:pPr>
            <w:r>
              <w:t>The subject will be offered in terms of a series of seminars conducted by representatives from academic departments in PolyU</w:t>
            </w:r>
            <w:r w:rsidR="009B7C21">
              <w:t xml:space="preserve"> with invited guest speakers</w:t>
            </w:r>
            <w:r>
              <w:t xml:space="preserve"> </w:t>
            </w:r>
            <w:r w:rsidR="009B7C21">
              <w:t xml:space="preserve">from </w:t>
            </w:r>
            <w:r>
              <w:t>professional institutions</w:t>
            </w:r>
            <w:r w:rsidR="009B7C21">
              <w:t>;</w:t>
            </w:r>
            <w:r>
              <w:t xml:space="preserve"> HKSAR Government </w:t>
            </w:r>
            <w:proofErr w:type="spellStart"/>
            <w:r>
              <w:t>organisations</w:t>
            </w:r>
            <w:proofErr w:type="spellEnd"/>
            <w:r>
              <w:t xml:space="preserve"> such as the </w:t>
            </w:r>
            <w:r w:rsidRPr="002E4757">
              <w:t>Independent Commission Against Corruption (ICAC)</w:t>
            </w:r>
            <w:r w:rsidR="009B7C21">
              <w:t xml:space="preserve"> and</w:t>
            </w:r>
            <w:r>
              <w:t xml:space="preserve"> Environmental Protection Department</w:t>
            </w:r>
            <w:r w:rsidR="009B7C21">
              <w:t xml:space="preserve">; </w:t>
            </w:r>
            <w:r w:rsidR="009B7C21" w:rsidRPr="00195BEA">
              <w:rPr>
                <w:lang w:val="en-GB"/>
              </w:rPr>
              <w:t>experts/practitioners/alumni from the industry</w:t>
            </w:r>
            <w:r w:rsidR="00663776">
              <w:rPr>
                <w:lang w:val="en-GB"/>
              </w:rPr>
              <w:t xml:space="preserve">, </w:t>
            </w:r>
            <w:r>
              <w:t>etc. In each seminar, the speaker will introduce to students the various disciplines and the different topics listed in the section “Subject Synopsis/Indicative Syllabus”</w:t>
            </w:r>
            <w:r w:rsidR="009B7C21">
              <w:t xml:space="preserve"> while addressing the three learning outcomes (a), (b) and (c)</w:t>
            </w:r>
            <w:r>
              <w:t xml:space="preserve">. “Flipped Classroom” approach will be adopted to nurture active learning for students with emphasis in student engagement.  An active learning classroom will compose of various activities, namely: </w:t>
            </w:r>
          </w:p>
          <w:p w14:paraId="086177F2" w14:textId="77777777" w:rsidR="005305CF" w:rsidRPr="00AF7544" w:rsidRDefault="005305CF" w:rsidP="0072404E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ind w:left="714" w:right="-62" w:hanging="443"/>
              <w:contextualSpacing/>
            </w:pPr>
            <w:r>
              <w:t>Pre-seminar reading, research, and quizzes,</w:t>
            </w:r>
          </w:p>
          <w:p w14:paraId="1E434606" w14:textId="77777777" w:rsidR="005305CF" w:rsidRPr="00AF7544" w:rsidRDefault="005305CF" w:rsidP="0072404E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ind w:left="714" w:right="-62" w:hanging="443"/>
              <w:contextualSpacing/>
            </w:pPr>
            <w:r>
              <w:t>In-seminar case study, discussions, Question and Answer,</w:t>
            </w:r>
          </w:p>
          <w:p w14:paraId="15E2161F" w14:textId="77777777" w:rsidR="005305CF" w:rsidRDefault="005305CF" w:rsidP="0072404E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ind w:left="714" w:right="-62" w:hanging="443"/>
              <w:contextualSpacing/>
            </w:pPr>
            <w:r>
              <w:t>Post-seminar reflection, reviewing, and quizzes</w:t>
            </w:r>
          </w:p>
        </w:tc>
      </w:tr>
      <w:tr w:rsidR="005305CF" w14:paraId="1E56EB39" w14:textId="77777777" w:rsidTr="00AA0A99">
        <w:trPr>
          <w:trHeight w:val="981"/>
        </w:trPr>
        <w:tc>
          <w:tcPr>
            <w:tcW w:w="2340" w:type="dxa"/>
          </w:tcPr>
          <w:p w14:paraId="05616CAF" w14:textId="77777777" w:rsidR="005305CF" w:rsidRDefault="005305CF" w:rsidP="00AA0A99">
            <w:pPr>
              <w:spacing w:before="120" w:after="120"/>
              <w:rPr>
                <w:b/>
              </w:rPr>
            </w:pPr>
            <w:r>
              <w:rPr>
                <w:b/>
              </w:rPr>
              <w:t>Assessment Methods in Alignment with Intended Learning Outcomes</w:t>
            </w:r>
          </w:p>
        </w:tc>
        <w:tc>
          <w:tcPr>
            <w:tcW w:w="7860" w:type="dxa"/>
            <w:gridSpan w:val="2"/>
          </w:tcPr>
          <w:p w14:paraId="05931905" w14:textId="77777777" w:rsidR="005305CF" w:rsidRDefault="005305CF" w:rsidP="00AA0A99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52"/>
              <w:gridCol w:w="1145"/>
              <w:gridCol w:w="1106"/>
              <w:gridCol w:w="1086"/>
              <w:gridCol w:w="1145"/>
            </w:tblGrid>
            <w:tr w:rsidR="005305CF" w14:paraId="38ABE438" w14:textId="77777777" w:rsidTr="00AA0A99">
              <w:trPr>
                <w:trHeight w:val="509"/>
              </w:trPr>
              <w:tc>
                <w:tcPr>
                  <w:tcW w:w="3173" w:type="dxa"/>
                  <w:vMerge w:val="restart"/>
                </w:tcPr>
                <w:p w14:paraId="77338511" w14:textId="77777777" w:rsidR="005305CF" w:rsidRDefault="005305CF" w:rsidP="00AA0A99">
                  <w:pPr>
                    <w:spacing w:before="120" w:after="120"/>
                  </w:pPr>
                  <w:r>
                    <w:t xml:space="preserve">Specific assessment methods/tasks </w:t>
                  </w:r>
                </w:p>
              </w:tc>
              <w:tc>
                <w:tcPr>
                  <w:tcW w:w="1096" w:type="dxa"/>
                  <w:vMerge w:val="restart"/>
                </w:tcPr>
                <w:p w14:paraId="0E84DC7B" w14:textId="77777777" w:rsidR="005305CF" w:rsidRDefault="005305CF" w:rsidP="00AA0A99">
                  <w:pPr>
                    <w:spacing w:before="120" w:after="120"/>
                    <w:jc w:val="center"/>
                  </w:pPr>
                  <w:r>
                    <w:t>% Weighting</w:t>
                  </w:r>
                </w:p>
              </w:tc>
              <w:tc>
                <w:tcPr>
                  <w:tcW w:w="3365" w:type="dxa"/>
                  <w:gridSpan w:val="3"/>
                </w:tcPr>
                <w:p w14:paraId="1A0B258A" w14:textId="77777777" w:rsidR="005305CF" w:rsidRDefault="005305CF" w:rsidP="00AA0A99">
                  <w:r>
                    <w:t>Intended subject learning outcomes to be assessed</w:t>
                  </w:r>
                </w:p>
              </w:tc>
            </w:tr>
            <w:tr w:rsidR="005305CF" w14:paraId="06D1BDC8" w14:textId="77777777" w:rsidTr="00AA0A99">
              <w:tc>
                <w:tcPr>
                  <w:tcW w:w="3173" w:type="dxa"/>
                  <w:vMerge/>
                </w:tcPr>
                <w:p w14:paraId="355EFDF4" w14:textId="77777777" w:rsidR="005305CF" w:rsidRDefault="005305CF" w:rsidP="00AA0A99">
                  <w:pPr>
                    <w:spacing w:before="120" w:after="120"/>
                  </w:pPr>
                </w:p>
              </w:tc>
              <w:tc>
                <w:tcPr>
                  <w:tcW w:w="1096" w:type="dxa"/>
                  <w:vMerge/>
                </w:tcPr>
                <w:p w14:paraId="184149AB" w14:textId="77777777" w:rsidR="005305CF" w:rsidRDefault="005305CF" w:rsidP="00AA0A99">
                  <w:pPr>
                    <w:spacing w:before="120" w:after="120"/>
                    <w:jc w:val="center"/>
                  </w:pPr>
                </w:p>
              </w:tc>
              <w:tc>
                <w:tcPr>
                  <w:tcW w:w="1115" w:type="dxa"/>
                </w:tcPr>
                <w:p w14:paraId="1BB3D84D" w14:textId="77777777" w:rsidR="005305CF" w:rsidRDefault="005305CF" w:rsidP="00AA0A99">
                  <w:pPr>
                    <w:tabs>
                      <w:tab w:val="center" w:pos="4320"/>
                      <w:tab w:val="right" w:pos="8640"/>
                    </w:tabs>
                    <w:jc w:val="center"/>
                  </w:pPr>
                  <w:r>
                    <w:t>a</w:t>
                  </w:r>
                </w:p>
              </w:tc>
              <w:tc>
                <w:tcPr>
                  <w:tcW w:w="1095" w:type="dxa"/>
                </w:tcPr>
                <w:p w14:paraId="5D7DB7C5" w14:textId="77777777" w:rsidR="005305CF" w:rsidRDefault="005305CF" w:rsidP="00AA0A99">
                  <w:pPr>
                    <w:tabs>
                      <w:tab w:val="center" w:pos="4320"/>
                      <w:tab w:val="right" w:pos="8640"/>
                    </w:tabs>
                    <w:jc w:val="center"/>
                  </w:pPr>
                  <w:r>
                    <w:t>b</w:t>
                  </w:r>
                </w:p>
              </w:tc>
              <w:tc>
                <w:tcPr>
                  <w:tcW w:w="1155" w:type="dxa"/>
                </w:tcPr>
                <w:p w14:paraId="3AFFEA71" w14:textId="77777777" w:rsidR="005305CF" w:rsidRDefault="005305CF" w:rsidP="00AA0A99">
                  <w:pPr>
                    <w:tabs>
                      <w:tab w:val="center" w:pos="4320"/>
                      <w:tab w:val="right" w:pos="8640"/>
                    </w:tabs>
                    <w:jc w:val="center"/>
                  </w:pPr>
                  <w:r>
                    <w:t>c</w:t>
                  </w:r>
                </w:p>
              </w:tc>
            </w:tr>
            <w:tr w:rsidR="005305CF" w14:paraId="406DBD7B" w14:textId="77777777" w:rsidTr="00AA0A99">
              <w:trPr>
                <w:trHeight w:val="397"/>
              </w:trPr>
              <w:tc>
                <w:tcPr>
                  <w:tcW w:w="3173" w:type="dxa"/>
                  <w:vAlign w:val="center"/>
                </w:tcPr>
                <w:p w14:paraId="376A5522" w14:textId="77777777" w:rsidR="005305CF" w:rsidRDefault="005305CF" w:rsidP="005305CF">
                  <w:pPr>
                    <w:widowControl/>
                    <w:numPr>
                      <w:ilvl w:val="0"/>
                      <w:numId w:val="10"/>
                    </w:numPr>
                    <w:autoSpaceDE/>
                    <w:autoSpaceDN/>
                    <w:ind w:left="271" w:hanging="271"/>
                  </w:pPr>
                  <w:r>
                    <w:t>Pre-seminar quizzes</w:t>
                  </w:r>
                </w:p>
              </w:tc>
              <w:tc>
                <w:tcPr>
                  <w:tcW w:w="1096" w:type="dxa"/>
                  <w:vAlign w:val="center"/>
                </w:tcPr>
                <w:p w14:paraId="0550CB07" w14:textId="77777777" w:rsidR="005305CF" w:rsidRDefault="005305CF" w:rsidP="00AA0A99">
                  <w:pPr>
                    <w:jc w:val="center"/>
                    <w:rPr>
                      <w:lang w:eastAsia="zh-TW"/>
                    </w:rPr>
                  </w:pPr>
                  <w:r>
                    <w:rPr>
                      <w:lang w:eastAsia="zh-TW"/>
                    </w:rPr>
                    <w:t>20%</w:t>
                  </w:r>
                </w:p>
              </w:tc>
              <w:tc>
                <w:tcPr>
                  <w:tcW w:w="1115" w:type="dxa"/>
                  <w:vAlign w:val="center"/>
                </w:tcPr>
                <w:p w14:paraId="07897E93" w14:textId="77777777" w:rsidR="005305CF" w:rsidRDefault="005305CF" w:rsidP="00AA0A99">
                  <w:pPr>
                    <w:jc w:val="center"/>
                  </w:pPr>
                  <w:r>
                    <w:sym w:font="Wingdings 2" w:char="F050"/>
                  </w:r>
                </w:p>
              </w:tc>
              <w:tc>
                <w:tcPr>
                  <w:tcW w:w="1095" w:type="dxa"/>
                  <w:vAlign w:val="center"/>
                </w:tcPr>
                <w:p w14:paraId="40C97544" w14:textId="77777777" w:rsidR="005305CF" w:rsidRDefault="005305CF" w:rsidP="00AA0A99">
                  <w:pPr>
                    <w:jc w:val="center"/>
                  </w:pPr>
                  <w:r>
                    <w:sym w:font="Wingdings 2" w:char="F050"/>
                  </w:r>
                </w:p>
              </w:tc>
              <w:tc>
                <w:tcPr>
                  <w:tcW w:w="1155" w:type="dxa"/>
                  <w:vAlign w:val="center"/>
                </w:tcPr>
                <w:p w14:paraId="0BA47D76" w14:textId="77777777" w:rsidR="005305CF" w:rsidRDefault="005305CF" w:rsidP="00AA0A99">
                  <w:pPr>
                    <w:jc w:val="center"/>
                  </w:pPr>
                  <w:r>
                    <w:sym w:font="Wingdings 2" w:char="F050"/>
                  </w:r>
                </w:p>
              </w:tc>
            </w:tr>
            <w:tr w:rsidR="005305CF" w14:paraId="7E7C8756" w14:textId="77777777" w:rsidTr="00AA0A99">
              <w:trPr>
                <w:trHeight w:val="397"/>
              </w:trPr>
              <w:tc>
                <w:tcPr>
                  <w:tcW w:w="3173" w:type="dxa"/>
                  <w:vAlign w:val="center"/>
                </w:tcPr>
                <w:p w14:paraId="4D0AF891" w14:textId="77777777" w:rsidR="005305CF" w:rsidRDefault="005305CF" w:rsidP="00AA0A99">
                  <w:pPr>
                    <w:ind w:left="220" w:hangingChars="100" w:hanging="220"/>
                    <w:rPr>
                      <w:lang w:eastAsia="zh-TW"/>
                    </w:rPr>
                  </w:pPr>
                  <w:r>
                    <w:t xml:space="preserve">2.  </w:t>
                  </w:r>
                  <w:proofErr w:type="gramStart"/>
                  <w:r>
                    <w:t>Post-seminar</w:t>
                  </w:r>
                  <w:proofErr w:type="gramEnd"/>
                  <w:r>
                    <w:rPr>
                      <w:lang w:eastAsia="zh-TW"/>
                    </w:rPr>
                    <w:t xml:space="preserve"> quizzes</w:t>
                  </w:r>
                </w:p>
              </w:tc>
              <w:tc>
                <w:tcPr>
                  <w:tcW w:w="1096" w:type="dxa"/>
                  <w:vAlign w:val="center"/>
                </w:tcPr>
                <w:p w14:paraId="38EEA732" w14:textId="77777777" w:rsidR="005305CF" w:rsidRDefault="005305CF" w:rsidP="00AA0A99">
                  <w:pPr>
                    <w:jc w:val="center"/>
                  </w:pPr>
                  <w:r>
                    <w:rPr>
                      <w:lang w:eastAsia="zh-TW"/>
                    </w:rPr>
                    <w:t>5</w:t>
                  </w:r>
                  <w:r>
                    <w:rPr>
                      <w:rFonts w:hint="eastAsia"/>
                      <w:lang w:eastAsia="zh-TW"/>
                    </w:rPr>
                    <w:t>0</w:t>
                  </w:r>
                  <w:r>
                    <w:t>%</w:t>
                  </w:r>
                </w:p>
              </w:tc>
              <w:tc>
                <w:tcPr>
                  <w:tcW w:w="1115" w:type="dxa"/>
                  <w:vAlign w:val="center"/>
                </w:tcPr>
                <w:p w14:paraId="3690FECF" w14:textId="77777777" w:rsidR="005305CF" w:rsidRDefault="005305CF" w:rsidP="00AA0A99">
                  <w:pPr>
                    <w:jc w:val="center"/>
                  </w:pPr>
                  <w:r>
                    <w:sym w:font="Wingdings 2" w:char="F050"/>
                  </w:r>
                </w:p>
              </w:tc>
              <w:tc>
                <w:tcPr>
                  <w:tcW w:w="1095" w:type="dxa"/>
                  <w:vAlign w:val="center"/>
                </w:tcPr>
                <w:p w14:paraId="738C1646" w14:textId="77777777" w:rsidR="005305CF" w:rsidRDefault="005305CF" w:rsidP="00AA0A99">
                  <w:pPr>
                    <w:jc w:val="center"/>
                  </w:pPr>
                  <w:r>
                    <w:sym w:font="Wingdings 2" w:char="F050"/>
                  </w:r>
                </w:p>
              </w:tc>
              <w:tc>
                <w:tcPr>
                  <w:tcW w:w="1155" w:type="dxa"/>
                  <w:vAlign w:val="center"/>
                </w:tcPr>
                <w:p w14:paraId="603F7BC8" w14:textId="77777777" w:rsidR="005305CF" w:rsidRDefault="005305CF" w:rsidP="00AA0A99">
                  <w:pPr>
                    <w:jc w:val="center"/>
                  </w:pPr>
                  <w:r>
                    <w:sym w:font="Wingdings 2" w:char="F050"/>
                  </w:r>
                </w:p>
              </w:tc>
            </w:tr>
            <w:tr w:rsidR="005305CF" w14:paraId="2A8069B2" w14:textId="77777777" w:rsidTr="00AA0A99">
              <w:trPr>
                <w:trHeight w:val="397"/>
              </w:trPr>
              <w:tc>
                <w:tcPr>
                  <w:tcW w:w="3173" w:type="dxa"/>
                  <w:vAlign w:val="center"/>
                </w:tcPr>
                <w:p w14:paraId="0A60ECBA" w14:textId="77777777" w:rsidR="005305CF" w:rsidRDefault="005305CF" w:rsidP="00AA0A99">
                  <w:pPr>
                    <w:ind w:left="271" w:hanging="271"/>
                    <w:rPr>
                      <w:lang w:eastAsia="zh-TW"/>
                    </w:rPr>
                  </w:pPr>
                  <w:r>
                    <w:rPr>
                      <w:lang w:eastAsia="zh-TW"/>
                    </w:rPr>
                    <w:t>3</w:t>
                  </w:r>
                  <w:r>
                    <w:rPr>
                      <w:rFonts w:hint="eastAsia"/>
                      <w:lang w:eastAsia="zh-TW"/>
                    </w:rPr>
                    <w:t xml:space="preserve">. </w:t>
                  </w:r>
                  <w:r>
                    <w:rPr>
                      <w:lang w:eastAsia="zh-TW"/>
                    </w:rPr>
                    <w:t xml:space="preserve"> Case Study</w:t>
                  </w:r>
                </w:p>
              </w:tc>
              <w:tc>
                <w:tcPr>
                  <w:tcW w:w="1096" w:type="dxa"/>
                  <w:vAlign w:val="center"/>
                </w:tcPr>
                <w:p w14:paraId="4366400F" w14:textId="77777777" w:rsidR="005305CF" w:rsidRDefault="005305CF" w:rsidP="00AA0A99">
                  <w:pPr>
                    <w:jc w:val="center"/>
                    <w:rPr>
                      <w:lang w:eastAsia="zh-TW"/>
                    </w:rPr>
                  </w:pPr>
                  <w:r>
                    <w:rPr>
                      <w:lang w:eastAsia="zh-TW"/>
                    </w:rPr>
                    <w:t>3</w:t>
                  </w:r>
                  <w:r>
                    <w:rPr>
                      <w:rFonts w:hint="eastAsia"/>
                      <w:lang w:eastAsia="zh-TW"/>
                    </w:rPr>
                    <w:t>0%</w:t>
                  </w:r>
                </w:p>
              </w:tc>
              <w:tc>
                <w:tcPr>
                  <w:tcW w:w="1115" w:type="dxa"/>
                  <w:vAlign w:val="center"/>
                </w:tcPr>
                <w:p w14:paraId="44B46AE5" w14:textId="77777777" w:rsidR="005305CF" w:rsidRDefault="005305CF" w:rsidP="00AA0A99">
                  <w:pPr>
                    <w:jc w:val="center"/>
                  </w:pPr>
                  <w:r>
                    <w:sym w:font="Wingdings 2" w:char="F050"/>
                  </w:r>
                </w:p>
              </w:tc>
              <w:tc>
                <w:tcPr>
                  <w:tcW w:w="1095" w:type="dxa"/>
                  <w:vAlign w:val="center"/>
                </w:tcPr>
                <w:p w14:paraId="5875BF29" w14:textId="77777777" w:rsidR="005305CF" w:rsidRDefault="005305CF" w:rsidP="00AA0A99">
                  <w:pPr>
                    <w:jc w:val="center"/>
                  </w:pPr>
                  <w:r>
                    <w:sym w:font="Wingdings 2" w:char="F050"/>
                  </w:r>
                </w:p>
              </w:tc>
              <w:tc>
                <w:tcPr>
                  <w:tcW w:w="1155" w:type="dxa"/>
                  <w:vAlign w:val="center"/>
                </w:tcPr>
                <w:p w14:paraId="38337E48" w14:textId="77777777" w:rsidR="005305CF" w:rsidRDefault="005305CF" w:rsidP="00AA0A99">
                  <w:pPr>
                    <w:jc w:val="center"/>
                  </w:pPr>
                  <w:r>
                    <w:sym w:font="Wingdings 2" w:char="F050"/>
                  </w:r>
                </w:p>
              </w:tc>
            </w:tr>
            <w:tr w:rsidR="005305CF" w14:paraId="01A49189" w14:textId="77777777" w:rsidTr="00AA0A99">
              <w:trPr>
                <w:trHeight w:val="397"/>
              </w:trPr>
              <w:tc>
                <w:tcPr>
                  <w:tcW w:w="3173" w:type="dxa"/>
                  <w:vAlign w:val="center"/>
                </w:tcPr>
                <w:p w14:paraId="1B63ADD4" w14:textId="77777777" w:rsidR="005305CF" w:rsidRDefault="005305CF" w:rsidP="00AA0A99">
                  <w:pPr>
                    <w:rPr>
                      <w:b/>
                      <w:i/>
                      <w:lang w:eastAsia="zh-TW"/>
                    </w:rPr>
                  </w:pPr>
                  <w:r>
                    <w:rPr>
                      <w:b/>
                      <w:i/>
                    </w:rPr>
                    <w:t xml:space="preserve">Total </w:t>
                  </w:r>
                </w:p>
              </w:tc>
              <w:tc>
                <w:tcPr>
                  <w:tcW w:w="1096" w:type="dxa"/>
                  <w:vAlign w:val="center"/>
                </w:tcPr>
                <w:p w14:paraId="5A106186" w14:textId="77777777" w:rsidR="005305CF" w:rsidRDefault="005305CF" w:rsidP="00AA0A99">
                  <w:pPr>
                    <w:jc w:val="center"/>
                    <w:rPr>
                      <w:lang w:eastAsia="zh-TW"/>
                    </w:rPr>
                  </w:pPr>
                  <w:r>
                    <w:t>100%</w:t>
                  </w:r>
                </w:p>
              </w:tc>
              <w:tc>
                <w:tcPr>
                  <w:tcW w:w="1115" w:type="dxa"/>
                  <w:vAlign w:val="center"/>
                </w:tcPr>
                <w:p w14:paraId="417A44C5" w14:textId="77777777" w:rsidR="005305CF" w:rsidRDefault="005305CF" w:rsidP="00AA0A99">
                  <w:pPr>
                    <w:jc w:val="center"/>
                  </w:pPr>
                  <w:r>
                    <w:sym w:font="Wingdings 2" w:char="F050"/>
                  </w:r>
                </w:p>
              </w:tc>
              <w:tc>
                <w:tcPr>
                  <w:tcW w:w="1095" w:type="dxa"/>
                  <w:vAlign w:val="center"/>
                </w:tcPr>
                <w:p w14:paraId="0AAD1369" w14:textId="77777777" w:rsidR="005305CF" w:rsidRDefault="005305CF" w:rsidP="00AA0A99">
                  <w:pPr>
                    <w:jc w:val="center"/>
                  </w:pPr>
                  <w:r>
                    <w:sym w:font="Wingdings 2" w:char="F050"/>
                  </w:r>
                </w:p>
              </w:tc>
              <w:tc>
                <w:tcPr>
                  <w:tcW w:w="1155" w:type="dxa"/>
                  <w:vAlign w:val="center"/>
                </w:tcPr>
                <w:p w14:paraId="2CCE4E74" w14:textId="77777777" w:rsidR="005305CF" w:rsidRDefault="005305CF" w:rsidP="00AA0A99">
                  <w:pPr>
                    <w:jc w:val="center"/>
                  </w:pPr>
                  <w:r>
                    <w:sym w:font="Wingdings 2" w:char="F050"/>
                  </w:r>
                </w:p>
              </w:tc>
            </w:tr>
          </w:tbl>
          <w:p w14:paraId="216FDCA2" w14:textId="77777777" w:rsidR="005305CF" w:rsidRDefault="005305CF" w:rsidP="00AA0A99">
            <w:pPr>
              <w:spacing w:before="120" w:after="120"/>
            </w:pPr>
            <w:r>
              <w:t>Explanation of the appropriateness of the assessment methods in assessing the intended learning outcomes:</w:t>
            </w:r>
          </w:p>
          <w:p w14:paraId="5B6FFE9B" w14:textId="5CC5E17E" w:rsidR="005305CF" w:rsidRDefault="005305CF" w:rsidP="00B074E8">
            <w:pPr>
              <w:widowControl/>
              <w:numPr>
                <w:ilvl w:val="0"/>
                <w:numId w:val="11"/>
              </w:numPr>
              <w:autoSpaceDE/>
              <w:autoSpaceDN/>
              <w:spacing w:before="120" w:after="120"/>
              <w:jc w:val="both"/>
            </w:pPr>
            <w:r>
              <w:t>Pre-seminar quizzes can encourage students to engage in the “flipped classroom” mode of learning, whereby they prepare for the oncoming seminar by advance reading, and research for background information.</w:t>
            </w:r>
          </w:p>
          <w:p w14:paraId="728757C9" w14:textId="77777777" w:rsidR="005305CF" w:rsidRDefault="005305CF" w:rsidP="005305CF">
            <w:pPr>
              <w:widowControl/>
              <w:numPr>
                <w:ilvl w:val="0"/>
                <w:numId w:val="11"/>
              </w:numPr>
              <w:autoSpaceDE/>
              <w:autoSpaceDN/>
              <w:spacing w:before="120" w:after="120"/>
              <w:jc w:val="both"/>
            </w:pPr>
            <w:r>
              <w:t xml:space="preserve">Post-seminar </w:t>
            </w:r>
            <w:r>
              <w:rPr>
                <w:lang w:eastAsia="zh-TW"/>
              </w:rPr>
              <w:t>quizzes</w:t>
            </w:r>
            <w:r>
              <w:t xml:space="preserve"> can encourage students to participate actively in the seminars and do </w:t>
            </w:r>
            <w:proofErr w:type="gramStart"/>
            <w:r>
              <w:t>extended</w:t>
            </w:r>
            <w:proofErr w:type="gramEnd"/>
            <w:r>
              <w:t xml:space="preserve"> reading and information search afterwards. They can also assess students’ understanding about the various topics introduced in the seminars and hence their achievement of the intended learning outcomes.</w:t>
            </w:r>
          </w:p>
          <w:p w14:paraId="793E8753" w14:textId="253CBE92" w:rsidR="005305CF" w:rsidRDefault="007D545F" w:rsidP="005305CF">
            <w:pPr>
              <w:widowControl/>
              <w:numPr>
                <w:ilvl w:val="0"/>
                <w:numId w:val="11"/>
              </w:numPr>
              <w:autoSpaceDE/>
              <w:autoSpaceDN/>
              <w:spacing w:before="120" w:after="120"/>
            </w:pPr>
            <w:r>
              <w:t>One c</w:t>
            </w:r>
            <w:r w:rsidR="005305CF">
              <w:t xml:space="preserve">ase </w:t>
            </w:r>
            <w:r>
              <w:t>s</w:t>
            </w:r>
            <w:r w:rsidR="005305CF">
              <w:t>tudy to be conducted by students can assess students’ in-depth understanding about the various topics introduced in the seminars.</w:t>
            </w:r>
          </w:p>
          <w:p w14:paraId="4D3FA983" w14:textId="1D85BB15" w:rsidR="00465616" w:rsidRDefault="005F2E92" w:rsidP="00663776">
            <w:pPr>
              <w:widowControl/>
              <w:autoSpaceDE/>
              <w:autoSpaceDN/>
              <w:spacing w:before="120" w:after="120"/>
              <w:jc w:val="both"/>
            </w:pPr>
            <w:r w:rsidRPr="005F2E92">
              <w:t>Pre-seminar and post-seminar quizzes assess foundational knowledge, measuring learning outcomes (a) and (b).  To assess learning outcome (c), a case study evaluates students’ ability to define their career aspirations and create a personal development plan, guiding their journey as professional engineers, researchers, engineering entrepreneurs, etc.</w:t>
            </w:r>
          </w:p>
        </w:tc>
      </w:tr>
      <w:tr w:rsidR="005305CF" w14:paraId="28C6EFA4" w14:textId="77777777" w:rsidTr="00AA0A99">
        <w:trPr>
          <w:trHeight w:val="412"/>
        </w:trPr>
        <w:tc>
          <w:tcPr>
            <w:tcW w:w="2340" w:type="dxa"/>
            <w:vMerge w:val="restart"/>
          </w:tcPr>
          <w:p w14:paraId="078A9B03" w14:textId="77777777" w:rsidR="005305CF" w:rsidRDefault="005305CF" w:rsidP="00AA0A99">
            <w:pPr>
              <w:spacing w:before="120" w:after="120"/>
              <w:rPr>
                <w:b/>
              </w:rPr>
            </w:pPr>
            <w:r>
              <w:rPr>
                <w:b/>
              </w:rPr>
              <w:t>Student Study Effort Expected</w:t>
            </w:r>
          </w:p>
        </w:tc>
        <w:tc>
          <w:tcPr>
            <w:tcW w:w="6591" w:type="dxa"/>
            <w:vAlign w:val="center"/>
          </w:tcPr>
          <w:p w14:paraId="6B69897F" w14:textId="77777777" w:rsidR="005305CF" w:rsidRDefault="005305CF" w:rsidP="00AA0A99">
            <w:pPr>
              <w:spacing w:before="120" w:after="120"/>
            </w:pPr>
            <w:r>
              <w:rPr>
                <w:b/>
                <w:i/>
              </w:rPr>
              <w:t>Class contact</w:t>
            </w:r>
            <w:r>
              <w:t>:</w:t>
            </w:r>
          </w:p>
        </w:tc>
        <w:tc>
          <w:tcPr>
            <w:tcW w:w="1269" w:type="dxa"/>
            <w:vAlign w:val="center"/>
          </w:tcPr>
          <w:p w14:paraId="4ACCAAF2" w14:textId="77777777" w:rsidR="005305CF" w:rsidRDefault="005305CF" w:rsidP="00AA0A99">
            <w:pPr>
              <w:spacing w:before="120" w:after="120"/>
              <w:ind w:right="132"/>
              <w:jc w:val="right"/>
            </w:pPr>
          </w:p>
        </w:tc>
      </w:tr>
      <w:tr w:rsidR="005305CF" w14:paraId="5C8CDC5C" w14:textId="77777777" w:rsidTr="00AA0A99">
        <w:trPr>
          <w:trHeight w:val="411"/>
        </w:trPr>
        <w:tc>
          <w:tcPr>
            <w:tcW w:w="2340" w:type="dxa"/>
            <w:vMerge/>
            <w:vAlign w:val="center"/>
          </w:tcPr>
          <w:p w14:paraId="72E4255E" w14:textId="77777777" w:rsidR="005305CF" w:rsidRDefault="005305CF" w:rsidP="00AA0A99">
            <w:pPr>
              <w:spacing w:before="120" w:after="120"/>
              <w:rPr>
                <w:b/>
              </w:rPr>
            </w:pPr>
          </w:p>
        </w:tc>
        <w:tc>
          <w:tcPr>
            <w:tcW w:w="6591" w:type="dxa"/>
            <w:vAlign w:val="center"/>
          </w:tcPr>
          <w:p w14:paraId="357A693B" w14:textId="77777777" w:rsidR="005305CF" w:rsidRDefault="005305CF" w:rsidP="005305CF">
            <w:pPr>
              <w:widowControl/>
              <w:numPr>
                <w:ilvl w:val="0"/>
                <w:numId w:val="12"/>
              </w:numPr>
              <w:autoSpaceDE/>
              <w:autoSpaceDN/>
              <w:spacing w:before="120" w:after="120"/>
              <w:ind w:left="388" w:hanging="283"/>
            </w:pPr>
            <w:r>
              <w:t xml:space="preserve">Seminars (7 sessions, 5 </w:t>
            </w:r>
            <w:r>
              <w:rPr>
                <w:rFonts w:ascii="Arial" w:hAnsi="Arial" w:cs="Arial"/>
              </w:rPr>
              <w:t xml:space="preserve">x </w:t>
            </w:r>
            <w:r>
              <w:t xml:space="preserve">2 + 2 </w:t>
            </w:r>
            <w:r>
              <w:rPr>
                <w:rFonts w:ascii="Arial" w:hAnsi="Arial" w:cs="Arial"/>
              </w:rPr>
              <w:t xml:space="preserve">x </w:t>
            </w:r>
            <w:r>
              <w:t>1.5 hours)</w:t>
            </w:r>
          </w:p>
        </w:tc>
        <w:tc>
          <w:tcPr>
            <w:tcW w:w="1269" w:type="dxa"/>
            <w:vAlign w:val="center"/>
          </w:tcPr>
          <w:p w14:paraId="3423CD6F" w14:textId="77777777" w:rsidR="005305CF" w:rsidRDefault="005305CF" w:rsidP="00AA0A99">
            <w:pPr>
              <w:spacing w:before="120" w:after="120"/>
              <w:ind w:right="132"/>
              <w:jc w:val="right"/>
            </w:pPr>
            <w:r>
              <w:t xml:space="preserve"> 13 Hrs.</w:t>
            </w:r>
          </w:p>
        </w:tc>
      </w:tr>
      <w:tr w:rsidR="005305CF" w14:paraId="7E55E4D9" w14:textId="77777777" w:rsidTr="00AA0A99">
        <w:trPr>
          <w:trHeight w:val="411"/>
        </w:trPr>
        <w:tc>
          <w:tcPr>
            <w:tcW w:w="2340" w:type="dxa"/>
            <w:vMerge/>
            <w:vAlign w:val="center"/>
          </w:tcPr>
          <w:p w14:paraId="22EEA8BD" w14:textId="77777777" w:rsidR="005305CF" w:rsidRDefault="005305CF" w:rsidP="00AA0A99">
            <w:pPr>
              <w:spacing w:before="120" w:after="120"/>
              <w:rPr>
                <w:b/>
              </w:rPr>
            </w:pPr>
          </w:p>
        </w:tc>
        <w:tc>
          <w:tcPr>
            <w:tcW w:w="6591" w:type="dxa"/>
            <w:vAlign w:val="center"/>
          </w:tcPr>
          <w:p w14:paraId="38CC230B" w14:textId="77777777" w:rsidR="005305CF" w:rsidRDefault="005305CF" w:rsidP="00AA0A99">
            <w:pPr>
              <w:spacing w:before="120" w:after="120"/>
              <w:ind w:left="72"/>
            </w:pPr>
            <w:r>
              <w:rPr>
                <w:b/>
                <w:i/>
              </w:rPr>
              <w:t>Other student study efforts</w:t>
            </w:r>
            <w:r>
              <w:t>:</w:t>
            </w:r>
          </w:p>
        </w:tc>
        <w:tc>
          <w:tcPr>
            <w:tcW w:w="1269" w:type="dxa"/>
            <w:vAlign w:val="center"/>
          </w:tcPr>
          <w:p w14:paraId="0A69224F" w14:textId="77777777" w:rsidR="005305CF" w:rsidRDefault="005305CF" w:rsidP="00AA0A99">
            <w:pPr>
              <w:spacing w:before="120" w:after="120"/>
              <w:ind w:right="132"/>
              <w:jc w:val="right"/>
            </w:pPr>
          </w:p>
        </w:tc>
      </w:tr>
      <w:tr w:rsidR="005305CF" w14:paraId="514FAECC" w14:textId="77777777" w:rsidTr="00AA0A99">
        <w:trPr>
          <w:trHeight w:val="556"/>
        </w:trPr>
        <w:tc>
          <w:tcPr>
            <w:tcW w:w="2340" w:type="dxa"/>
            <w:vMerge/>
            <w:vAlign w:val="center"/>
          </w:tcPr>
          <w:p w14:paraId="403942DB" w14:textId="77777777" w:rsidR="005305CF" w:rsidRDefault="005305CF" w:rsidP="00AA0A99">
            <w:pPr>
              <w:spacing w:before="120" w:after="120"/>
              <w:rPr>
                <w:b/>
              </w:rPr>
            </w:pPr>
          </w:p>
        </w:tc>
        <w:tc>
          <w:tcPr>
            <w:tcW w:w="6591" w:type="dxa"/>
            <w:vAlign w:val="center"/>
          </w:tcPr>
          <w:p w14:paraId="6FC6A64B" w14:textId="77777777" w:rsidR="005305CF" w:rsidRDefault="005305CF" w:rsidP="005305CF">
            <w:pPr>
              <w:widowControl/>
              <w:numPr>
                <w:ilvl w:val="0"/>
                <w:numId w:val="13"/>
              </w:numPr>
              <w:autoSpaceDE/>
              <w:autoSpaceDN/>
              <w:spacing w:before="120" w:after="120"/>
              <w:ind w:left="388" w:hanging="283"/>
            </w:pPr>
            <w:r>
              <w:t>Pre-seminar reading and research for information</w:t>
            </w:r>
          </w:p>
        </w:tc>
        <w:tc>
          <w:tcPr>
            <w:tcW w:w="1269" w:type="dxa"/>
            <w:vAlign w:val="center"/>
          </w:tcPr>
          <w:p w14:paraId="32E68A2D" w14:textId="77777777" w:rsidR="005305CF" w:rsidRDefault="005305CF" w:rsidP="00AA0A99">
            <w:pPr>
              <w:spacing w:before="120" w:after="120"/>
              <w:ind w:right="132"/>
              <w:jc w:val="right"/>
            </w:pPr>
            <w:r>
              <w:t>7 Hrs.</w:t>
            </w:r>
          </w:p>
        </w:tc>
      </w:tr>
      <w:tr w:rsidR="005305CF" w14:paraId="04D79FAC" w14:textId="77777777" w:rsidTr="00AA0A99">
        <w:trPr>
          <w:trHeight w:val="556"/>
        </w:trPr>
        <w:tc>
          <w:tcPr>
            <w:tcW w:w="2340" w:type="dxa"/>
            <w:vMerge/>
            <w:vAlign w:val="center"/>
          </w:tcPr>
          <w:p w14:paraId="78F1A8C4" w14:textId="77777777" w:rsidR="005305CF" w:rsidRDefault="005305CF" w:rsidP="00AA0A99">
            <w:pPr>
              <w:spacing w:before="120" w:after="120"/>
              <w:rPr>
                <w:b/>
              </w:rPr>
            </w:pPr>
          </w:p>
        </w:tc>
        <w:tc>
          <w:tcPr>
            <w:tcW w:w="6591" w:type="dxa"/>
            <w:vAlign w:val="center"/>
          </w:tcPr>
          <w:p w14:paraId="69E44D2E" w14:textId="77777777" w:rsidR="005305CF" w:rsidRDefault="005305CF" w:rsidP="005305CF">
            <w:pPr>
              <w:widowControl/>
              <w:numPr>
                <w:ilvl w:val="0"/>
                <w:numId w:val="13"/>
              </w:numPr>
              <w:autoSpaceDE/>
              <w:autoSpaceDN/>
              <w:spacing w:before="120" w:after="120"/>
              <w:ind w:left="388" w:hanging="283"/>
            </w:pPr>
            <w:r>
              <w:t>Post-seminar extended reading, information search, case report writing, and other learning and teaching activities</w:t>
            </w:r>
          </w:p>
        </w:tc>
        <w:tc>
          <w:tcPr>
            <w:tcW w:w="1269" w:type="dxa"/>
            <w:vAlign w:val="center"/>
          </w:tcPr>
          <w:p w14:paraId="7671BFCA" w14:textId="5C9D2F61" w:rsidR="005305CF" w:rsidRDefault="005305CF" w:rsidP="00AA0A99">
            <w:pPr>
              <w:spacing w:before="120" w:after="120"/>
              <w:ind w:right="132"/>
              <w:jc w:val="right"/>
            </w:pPr>
            <w:r>
              <w:t>19 Hrs</w:t>
            </w:r>
            <w:r w:rsidR="00DA4571">
              <w:t>.</w:t>
            </w:r>
          </w:p>
        </w:tc>
      </w:tr>
      <w:tr w:rsidR="005305CF" w14:paraId="32352E40" w14:textId="77777777" w:rsidTr="00AA0A99">
        <w:trPr>
          <w:trHeight w:val="996"/>
        </w:trPr>
        <w:tc>
          <w:tcPr>
            <w:tcW w:w="2340" w:type="dxa"/>
            <w:vMerge/>
            <w:vAlign w:val="center"/>
          </w:tcPr>
          <w:p w14:paraId="5F15438D" w14:textId="77777777" w:rsidR="005305CF" w:rsidRDefault="005305CF" w:rsidP="00AA0A99">
            <w:pPr>
              <w:spacing w:before="120" w:after="120"/>
              <w:rPr>
                <w:b/>
              </w:rPr>
            </w:pPr>
          </w:p>
        </w:tc>
        <w:tc>
          <w:tcPr>
            <w:tcW w:w="6591" w:type="dxa"/>
            <w:vAlign w:val="center"/>
          </w:tcPr>
          <w:p w14:paraId="4DCD6FA8" w14:textId="77777777" w:rsidR="005305CF" w:rsidRDefault="005305CF" w:rsidP="00AA0A99">
            <w:pPr>
              <w:spacing w:before="120" w:after="120"/>
              <w:ind w:left="72"/>
              <w:rPr>
                <w:b/>
              </w:rPr>
            </w:pPr>
            <w:r>
              <w:rPr>
                <w:b/>
              </w:rPr>
              <w:t>Total student study efforts:</w:t>
            </w:r>
          </w:p>
        </w:tc>
        <w:tc>
          <w:tcPr>
            <w:tcW w:w="1269" w:type="dxa"/>
            <w:vAlign w:val="center"/>
          </w:tcPr>
          <w:p w14:paraId="5D416E66" w14:textId="77777777" w:rsidR="005305CF" w:rsidRDefault="005305CF" w:rsidP="00AA0A99">
            <w:pPr>
              <w:spacing w:before="120" w:after="120"/>
              <w:ind w:right="132"/>
              <w:jc w:val="right"/>
            </w:pPr>
            <w:r>
              <w:t xml:space="preserve"> 39 Hrs.</w:t>
            </w:r>
          </w:p>
        </w:tc>
      </w:tr>
      <w:tr w:rsidR="005305CF" w14:paraId="2C209843" w14:textId="77777777" w:rsidTr="00AA0A99">
        <w:trPr>
          <w:trHeight w:val="250"/>
        </w:trPr>
        <w:tc>
          <w:tcPr>
            <w:tcW w:w="2340" w:type="dxa"/>
          </w:tcPr>
          <w:p w14:paraId="45250C83" w14:textId="77777777" w:rsidR="005305CF" w:rsidRDefault="005305CF" w:rsidP="00AA0A99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Reading List and References</w:t>
            </w:r>
          </w:p>
        </w:tc>
        <w:tc>
          <w:tcPr>
            <w:tcW w:w="7860" w:type="dxa"/>
            <w:gridSpan w:val="2"/>
          </w:tcPr>
          <w:p w14:paraId="395DE9DD" w14:textId="77777777" w:rsidR="005305CF" w:rsidRDefault="005305CF" w:rsidP="00AA0A99">
            <w:pPr>
              <w:spacing w:line="220" w:lineRule="exact"/>
              <w:ind w:right="98"/>
              <w:rPr>
                <w:b/>
              </w:rPr>
            </w:pPr>
            <w:r>
              <w:rPr>
                <w:b/>
              </w:rPr>
              <w:t>Reference Books &amp; Articles</w:t>
            </w:r>
          </w:p>
          <w:p w14:paraId="62E188D1" w14:textId="77777777" w:rsidR="005305CF" w:rsidRDefault="005305CF" w:rsidP="005305CF">
            <w:pPr>
              <w:widowControl/>
              <w:numPr>
                <w:ilvl w:val="0"/>
                <w:numId w:val="14"/>
              </w:numPr>
              <w:autoSpaceDE/>
              <w:autoSpaceDN/>
              <w:ind w:left="527" w:right="96" w:hanging="425"/>
            </w:pPr>
            <w:r>
              <w:t xml:space="preserve">Holbrook, J. Britt, (ed), </w:t>
            </w:r>
            <w:r>
              <w:rPr>
                <w:i/>
              </w:rPr>
              <w:t>Ethics, science, technology, and engineering: a global resource</w:t>
            </w:r>
            <w:r>
              <w:t>, Farmington Hills, Mich.: Gale, Cengage Learning, 2015</w:t>
            </w:r>
          </w:p>
          <w:p w14:paraId="014AA959" w14:textId="77777777" w:rsidR="005305CF" w:rsidRDefault="005305CF" w:rsidP="005305CF">
            <w:pPr>
              <w:widowControl/>
              <w:numPr>
                <w:ilvl w:val="0"/>
                <w:numId w:val="14"/>
              </w:numPr>
              <w:autoSpaceDE/>
              <w:autoSpaceDN/>
              <w:ind w:left="527" w:right="96" w:hanging="425"/>
            </w:pPr>
            <w:proofErr w:type="spellStart"/>
            <w:r>
              <w:t>Alam</w:t>
            </w:r>
            <w:proofErr w:type="spellEnd"/>
            <w:r>
              <w:t xml:space="preserve">, Firoz, </w:t>
            </w:r>
            <w:r>
              <w:rPr>
                <w:i/>
              </w:rPr>
              <w:t xml:space="preserve">Engineering </w:t>
            </w:r>
            <w:proofErr w:type="gramStart"/>
            <w:r>
              <w:rPr>
                <w:i/>
              </w:rPr>
              <w:t>education :</w:t>
            </w:r>
            <w:proofErr w:type="gramEnd"/>
            <w:r>
              <w:rPr>
                <w:i/>
              </w:rPr>
              <w:t xml:space="preserve"> accreditation &amp; graduate global mobility</w:t>
            </w:r>
            <w:r>
              <w:t>, Leiden: CRC Press/</w:t>
            </w:r>
            <w:proofErr w:type="spellStart"/>
            <w:r>
              <w:t>Balkema</w:t>
            </w:r>
            <w:proofErr w:type="spellEnd"/>
            <w:r>
              <w:t>, 2021</w:t>
            </w:r>
          </w:p>
          <w:p w14:paraId="284F72A2" w14:textId="77777777" w:rsidR="005305CF" w:rsidRDefault="005305CF" w:rsidP="005305CF">
            <w:pPr>
              <w:widowControl/>
              <w:numPr>
                <w:ilvl w:val="0"/>
                <w:numId w:val="14"/>
              </w:numPr>
              <w:autoSpaceDE/>
              <w:autoSpaceDN/>
              <w:ind w:left="527" w:right="96" w:hanging="425"/>
            </w:pPr>
            <w:r>
              <w:t xml:space="preserve">Video (PolyU Library), Engineering – solving problems through science, San Francisco, California, USA: </w:t>
            </w:r>
            <w:proofErr w:type="spellStart"/>
            <w:r>
              <w:t>Kanopy</w:t>
            </w:r>
            <w:proofErr w:type="spellEnd"/>
            <w:r>
              <w:t xml:space="preserve"> Streaming; 2014</w:t>
            </w:r>
          </w:p>
          <w:p w14:paraId="0AED6648" w14:textId="77777777" w:rsidR="005305CF" w:rsidRDefault="005305CF" w:rsidP="00AA0A99">
            <w:pPr>
              <w:spacing w:line="220" w:lineRule="exact"/>
              <w:ind w:right="98"/>
              <w:jc w:val="both"/>
              <w:rPr>
                <w:b/>
              </w:rPr>
            </w:pPr>
          </w:p>
          <w:p w14:paraId="50798453" w14:textId="77777777" w:rsidR="005305CF" w:rsidRDefault="005305CF" w:rsidP="00AA0A99">
            <w:pPr>
              <w:spacing w:line="220" w:lineRule="exact"/>
              <w:ind w:right="98"/>
              <w:jc w:val="both"/>
              <w:rPr>
                <w:u w:val="single"/>
              </w:rPr>
            </w:pPr>
            <w:r>
              <w:rPr>
                <w:b/>
              </w:rPr>
              <w:t>Online Materials</w:t>
            </w:r>
            <w:r>
              <w:t>:</w:t>
            </w:r>
          </w:p>
          <w:p w14:paraId="60D65422" w14:textId="77777777" w:rsidR="005305CF" w:rsidRDefault="005305CF" w:rsidP="00AA0A99">
            <w:pPr>
              <w:spacing w:before="40"/>
              <w:ind w:right="98"/>
              <w:jc w:val="both"/>
              <w:rPr>
                <w:u w:val="single"/>
              </w:rPr>
            </w:pPr>
          </w:p>
          <w:p w14:paraId="196674C5" w14:textId="77777777" w:rsidR="005305CF" w:rsidRDefault="005305CF" w:rsidP="005305CF">
            <w:pPr>
              <w:widowControl/>
              <w:numPr>
                <w:ilvl w:val="0"/>
                <w:numId w:val="15"/>
              </w:numPr>
              <w:autoSpaceDE/>
              <w:autoSpaceDN/>
              <w:spacing w:before="40"/>
              <w:ind w:left="527" w:right="96" w:hanging="425"/>
              <w:jc w:val="both"/>
              <w:rPr>
                <w:u w:val="single"/>
              </w:rPr>
            </w:pPr>
            <w:r>
              <w:t xml:space="preserve">Faculty of Engineering website: </w:t>
            </w:r>
            <w:hyperlink r:id="rId11" w:history="1">
              <w:r>
                <w:rPr>
                  <w:rStyle w:val="Hyperlink"/>
                </w:rPr>
                <w:t>https://www.polyu.edu.hk/en/feng/</w:t>
              </w:r>
            </w:hyperlink>
          </w:p>
          <w:p w14:paraId="0A9A69EF" w14:textId="77777777" w:rsidR="005305CF" w:rsidRDefault="005305CF" w:rsidP="005305CF">
            <w:pPr>
              <w:widowControl/>
              <w:numPr>
                <w:ilvl w:val="0"/>
                <w:numId w:val="15"/>
              </w:numPr>
              <w:autoSpaceDE/>
              <w:autoSpaceDN/>
              <w:spacing w:before="40"/>
              <w:ind w:left="530" w:right="96" w:hanging="428"/>
              <w:jc w:val="both"/>
            </w:pPr>
            <w:r>
              <w:t>Departmental websites:</w:t>
            </w:r>
          </w:p>
          <w:bookmarkStart w:id="0" w:name="_Hlt186666663"/>
          <w:bookmarkStart w:id="1" w:name="_Hlt186666662"/>
          <w:p w14:paraId="60DEAA6C" w14:textId="77777777" w:rsidR="005305CF" w:rsidRDefault="005305CF" w:rsidP="005305CF">
            <w:pPr>
              <w:widowControl/>
              <w:numPr>
                <w:ilvl w:val="1"/>
                <w:numId w:val="15"/>
              </w:numPr>
              <w:autoSpaceDE/>
              <w:autoSpaceDN/>
              <w:spacing w:before="40"/>
              <w:ind w:left="955" w:right="96" w:hanging="283"/>
              <w:jc w:val="both"/>
              <w:rPr>
                <w:u w:val="single"/>
              </w:rPr>
            </w:pP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 xml:space="preserve"> HYPERLINK "https://www.polyu.edu.hk/en/aae/" </w:instrText>
            </w:r>
            <w:r>
              <w:rPr>
                <w:u w:val="single"/>
              </w:rPr>
              <w:fldChar w:fldCharType="separate"/>
            </w:r>
            <w:r>
              <w:rPr>
                <w:rStyle w:val="Hyperlink"/>
              </w:rPr>
              <w:t>https://www.polyu.edu.hk/en/aae/</w:t>
            </w:r>
            <w:r>
              <w:rPr>
                <w:u w:val="single"/>
              </w:rPr>
              <w:fldChar w:fldCharType="end"/>
            </w:r>
            <w:bookmarkEnd w:id="0"/>
            <w:bookmarkEnd w:id="1"/>
          </w:p>
          <w:p w14:paraId="593CDEB4" w14:textId="77777777" w:rsidR="005305CF" w:rsidRDefault="00664801" w:rsidP="005305CF">
            <w:pPr>
              <w:widowControl/>
              <w:numPr>
                <w:ilvl w:val="1"/>
                <w:numId w:val="15"/>
              </w:numPr>
              <w:autoSpaceDE/>
              <w:autoSpaceDN/>
              <w:spacing w:before="40"/>
              <w:ind w:left="955" w:right="96" w:hanging="283"/>
              <w:jc w:val="both"/>
              <w:rPr>
                <w:u w:val="single"/>
              </w:rPr>
            </w:pPr>
            <w:hyperlink r:id="rId12" w:history="1">
              <w:r w:rsidR="005305CF">
                <w:rPr>
                  <w:rStyle w:val="Hyperlink"/>
                </w:rPr>
                <w:t>https://www.polyu.edu.hk/en/bme/</w:t>
              </w:r>
            </w:hyperlink>
          </w:p>
          <w:p w14:paraId="0F3887B2" w14:textId="77777777" w:rsidR="005305CF" w:rsidRDefault="00664801" w:rsidP="005305CF">
            <w:pPr>
              <w:widowControl/>
              <w:numPr>
                <w:ilvl w:val="1"/>
                <w:numId w:val="15"/>
              </w:numPr>
              <w:autoSpaceDE/>
              <w:autoSpaceDN/>
              <w:spacing w:before="40"/>
              <w:ind w:left="955" w:right="96" w:hanging="283"/>
              <w:jc w:val="both"/>
              <w:rPr>
                <w:u w:val="single"/>
              </w:rPr>
            </w:pPr>
            <w:hyperlink r:id="rId13" w:history="1">
              <w:r w:rsidR="005305CF">
                <w:rPr>
                  <w:rStyle w:val="Hyperlink"/>
                </w:rPr>
                <w:t>https://www.polyu.edu.hk/en/eee/</w:t>
              </w:r>
            </w:hyperlink>
          </w:p>
          <w:p w14:paraId="06BA6526" w14:textId="77777777" w:rsidR="005305CF" w:rsidRDefault="00664801" w:rsidP="005305CF">
            <w:pPr>
              <w:widowControl/>
              <w:numPr>
                <w:ilvl w:val="1"/>
                <w:numId w:val="15"/>
              </w:numPr>
              <w:autoSpaceDE/>
              <w:autoSpaceDN/>
              <w:spacing w:before="40"/>
              <w:ind w:left="955" w:right="96" w:hanging="283"/>
              <w:jc w:val="both"/>
              <w:rPr>
                <w:u w:val="single"/>
              </w:rPr>
            </w:pPr>
            <w:hyperlink r:id="rId14" w:history="1">
              <w:r w:rsidR="005305CF">
                <w:rPr>
                  <w:rStyle w:val="Hyperlink"/>
                </w:rPr>
                <w:t>https://www.polyu.edu.hk/en/ise/</w:t>
              </w:r>
            </w:hyperlink>
          </w:p>
          <w:p w14:paraId="37C72019" w14:textId="77777777" w:rsidR="005305CF" w:rsidRDefault="00664801" w:rsidP="005305CF">
            <w:pPr>
              <w:widowControl/>
              <w:numPr>
                <w:ilvl w:val="1"/>
                <w:numId w:val="15"/>
              </w:numPr>
              <w:autoSpaceDE/>
              <w:autoSpaceDN/>
              <w:spacing w:before="40"/>
              <w:ind w:left="955" w:right="96" w:hanging="283"/>
              <w:jc w:val="both"/>
              <w:rPr>
                <w:u w:val="single"/>
              </w:rPr>
            </w:pPr>
            <w:hyperlink r:id="rId15" w:history="1">
              <w:r w:rsidR="005305CF">
                <w:rPr>
                  <w:rStyle w:val="Hyperlink"/>
                </w:rPr>
                <w:t>https://www.polyu.edu.hk/en/me/</w:t>
              </w:r>
            </w:hyperlink>
          </w:p>
          <w:p w14:paraId="6D2728E2" w14:textId="77777777" w:rsidR="005305CF" w:rsidRDefault="005305CF" w:rsidP="005305CF">
            <w:pPr>
              <w:widowControl/>
              <w:numPr>
                <w:ilvl w:val="0"/>
                <w:numId w:val="15"/>
              </w:numPr>
              <w:autoSpaceDE/>
              <w:autoSpaceDN/>
              <w:spacing w:before="40"/>
              <w:ind w:left="527" w:right="96" w:hanging="425"/>
              <w:jc w:val="both"/>
            </w:pPr>
            <w:r>
              <w:t xml:space="preserve">HKIE Website: </w:t>
            </w:r>
            <w:hyperlink r:id="rId16" w:history="1">
              <w:r>
                <w:rPr>
                  <w:rStyle w:val="Hyperlink"/>
                </w:rPr>
                <w:t>https://www.hkie.org.hk/en/</w:t>
              </w:r>
            </w:hyperlink>
          </w:p>
          <w:p w14:paraId="12586316" w14:textId="77777777" w:rsidR="005305CF" w:rsidRDefault="005305CF" w:rsidP="005305CF">
            <w:pPr>
              <w:widowControl/>
              <w:numPr>
                <w:ilvl w:val="0"/>
                <w:numId w:val="15"/>
              </w:numPr>
              <w:autoSpaceDE/>
              <w:autoSpaceDN/>
              <w:spacing w:before="40"/>
              <w:ind w:left="527" w:right="96" w:hanging="425"/>
              <w:jc w:val="both"/>
            </w:pPr>
            <w:r>
              <w:t>Websites of professional societies and institutions, such as:</w:t>
            </w:r>
          </w:p>
          <w:p w14:paraId="63DDF591" w14:textId="77777777" w:rsidR="005305CF" w:rsidRDefault="005305CF" w:rsidP="005305CF">
            <w:pPr>
              <w:widowControl/>
              <w:numPr>
                <w:ilvl w:val="1"/>
                <w:numId w:val="15"/>
              </w:numPr>
              <w:autoSpaceDE/>
              <w:autoSpaceDN/>
              <w:spacing w:before="40"/>
              <w:ind w:left="955" w:right="96" w:hanging="283"/>
              <w:jc w:val="both"/>
            </w:pPr>
            <w:r>
              <w:t xml:space="preserve">The Chartered Institute of Logistics and Transport </w:t>
            </w:r>
            <w:hyperlink r:id="rId17" w:history="1">
              <w:r>
                <w:rPr>
                  <w:rStyle w:val="Hyperlink"/>
                </w:rPr>
                <w:t>https://www.cilt.org.hk/en-US/Default.aspx</w:t>
              </w:r>
            </w:hyperlink>
          </w:p>
          <w:p w14:paraId="5522ACD1" w14:textId="77777777" w:rsidR="005305CF" w:rsidRDefault="005305CF" w:rsidP="005305CF">
            <w:pPr>
              <w:widowControl/>
              <w:numPr>
                <w:ilvl w:val="1"/>
                <w:numId w:val="15"/>
              </w:numPr>
              <w:autoSpaceDE/>
              <w:autoSpaceDN/>
              <w:spacing w:before="40"/>
              <w:ind w:left="955" w:right="96" w:hanging="283"/>
              <w:jc w:val="both"/>
            </w:pPr>
            <w:r>
              <w:t xml:space="preserve">CMI-HK Website: </w:t>
            </w:r>
            <w:hyperlink r:id="rId18" w:history="1">
              <w:r>
                <w:rPr>
                  <w:rStyle w:val="Hyperlink"/>
                </w:rPr>
                <w:t>https://www.managers.org.uk/community/regional-networks/hong-kong/</w:t>
              </w:r>
            </w:hyperlink>
          </w:p>
          <w:p w14:paraId="2E4CB268" w14:textId="77777777" w:rsidR="005305CF" w:rsidRDefault="005305CF" w:rsidP="005305CF">
            <w:pPr>
              <w:widowControl/>
              <w:numPr>
                <w:ilvl w:val="0"/>
                <w:numId w:val="15"/>
              </w:numPr>
              <w:autoSpaceDE/>
              <w:autoSpaceDN/>
              <w:spacing w:before="40"/>
              <w:ind w:left="527" w:right="96" w:hanging="425"/>
              <w:jc w:val="both"/>
            </w:pPr>
            <w:r>
              <w:t xml:space="preserve">ICAC Website: </w:t>
            </w:r>
            <w:hyperlink r:id="rId19" w:history="1">
              <w:r>
                <w:rPr>
                  <w:rStyle w:val="Hyperlink"/>
                </w:rPr>
                <w:t>https://www.icac.org.hk/en/home/index.html</w:t>
              </w:r>
            </w:hyperlink>
          </w:p>
          <w:p w14:paraId="4F650983" w14:textId="77777777" w:rsidR="005305CF" w:rsidRDefault="005305CF" w:rsidP="005305CF">
            <w:pPr>
              <w:widowControl/>
              <w:numPr>
                <w:ilvl w:val="0"/>
                <w:numId w:val="15"/>
              </w:numPr>
              <w:autoSpaceDE/>
              <w:autoSpaceDN/>
              <w:spacing w:before="40"/>
              <w:ind w:left="527" w:right="96" w:hanging="425"/>
            </w:pPr>
            <w:r>
              <w:t xml:space="preserve">Environmental Protection Department Website: </w:t>
            </w:r>
            <w:hyperlink r:id="rId20" w:history="1">
              <w:r>
                <w:rPr>
                  <w:rStyle w:val="Hyperlink"/>
                </w:rPr>
                <w:t>https://www.epd.gov.hk/epd/english/top.html</w:t>
              </w:r>
            </w:hyperlink>
          </w:p>
          <w:p w14:paraId="722AB63C" w14:textId="77777777" w:rsidR="005305CF" w:rsidRDefault="005305CF" w:rsidP="005305CF">
            <w:pPr>
              <w:widowControl/>
              <w:numPr>
                <w:ilvl w:val="0"/>
                <w:numId w:val="15"/>
              </w:numPr>
              <w:autoSpaceDE/>
              <w:autoSpaceDN/>
              <w:spacing w:before="40"/>
              <w:ind w:left="527" w:right="96" w:hanging="425"/>
            </w:pPr>
            <w:r>
              <w:t xml:space="preserve">TEDx Talks: Engineering for social impact: Randy Marsden at TEDx Edmonton, </w:t>
            </w:r>
            <w:hyperlink r:id="rId21" w:history="1">
              <w:r>
                <w:rPr>
                  <w:rStyle w:val="Hyperlink"/>
                </w:rPr>
                <w:t>https://www.youtube.com/watch?v=UCDwNWSXFHk</w:t>
              </w:r>
            </w:hyperlink>
          </w:p>
          <w:p w14:paraId="6B9E1F38" w14:textId="77777777" w:rsidR="005305CF" w:rsidRDefault="005305CF" w:rsidP="00AA0A99">
            <w:pPr>
              <w:shd w:val="clear" w:color="auto" w:fill="FFFFFF"/>
              <w:rPr>
                <w:rFonts w:ascii="Helvetica" w:hAnsi="Helvetica"/>
                <w:sz w:val="23"/>
                <w:szCs w:val="23"/>
              </w:rPr>
            </w:pPr>
          </w:p>
        </w:tc>
      </w:tr>
      <w:tr w:rsidR="005305CF" w14:paraId="2B906203" w14:textId="77777777" w:rsidTr="00AA0A99">
        <w:trPr>
          <w:trHeight w:val="250"/>
        </w:trPr>
        <w:tc>
          <w:tcPr>
            <w:tcW w:w="2340" w:type="dxa"/>
            <w:vAlign w:val="center"/>
          </w:tcPr>
          <w:p w14:paraId="797E11FC" w14:textId="77777777" w:rsidR="005305CF" w:rsidRDefault="005305CF" w:rsidP="00AA0A99">
            <w:pPr>
              <w:spacing w:before="120" w:after="120"/>
              <w:rPr>
                <w:b/>
              </w:rPr>
            </w:pPr>
            <w:r>
              <w:rPr>
                <w:b/>
              </w:rPr>
              <w:t>Last Updated</w:t>
            </w:r>
          </w:p>
        </w:tc>
        <w:tc>
          <w:tcPr>
            <w:tcW w:w="7860" w:type="dxa"/>
            <w:gridSpan w:val="2"/>
            <w:vAlign w:val="center"/>
          </w:tcPr>
          <w:p w14:paraId="7484F3F8" w14:textId="4FB44FCB" w:rsidR="005305CF" w:rsidRDefault="00884188" w:rsidP="00AA0A99">
            <w:pPr>
              <w:shd w:val="clear" w:color="auto" w:fill="FFFFFF"/>
              <w:rPr>
                <w:lang w:eastAsia="zh-TW"/>
              </w:rPr>
            </w:pPr>
            <w:r>
              <w:rPr>
                <w:lang w:eastAsia="zh-TW"/>
              </w:rPr>
              <w:t>May</w:t>
            </w:r>
            <w:r w:rsidR="005305CF">
              <w:rPr>
                <w:lang w:eastAsia="zh-TW"/>
              </w:rPr>
              <w:t xml:space="preserve"> 2025</w:t>
            </w:r>
          </w:p>
        </w:tc>
      </w:tr>
      <w:tr w:rsidR="005305CF" w14:paraId="479D529C" w14:textId="77777777" w:rsidTr="00AA0A99">
        <w:trPr>
          <w:trHeight w:val="250"/>
        </w:trPr>
        <w:tc>
          <w:tcPr>
            <w:tcW w:w="2340" w:type="dxa"/>
            <w:vAlign w:val="center"/>
          </w:tcPr>
          <w:p w14:paraId="5D0CDCBD" w14:textId="77777777" w:rsidR="005305CF" w:rsidRDefault="005305CF" w:rsidP="00AA0A99">
            <w:pPr>
              <w:spacing w:before="120" w:after="120"/>
              <w:rPr>
                <w:b/>
              </w:rPr>
            </w:pPr>
            <w:r>
              <w:rPr>
                <w:b/>
              </w:rPr>
              <w:t>Prepared by</w:t>
            </w:r>
          </w:p>
        </w:tc>
        <w:tc>
          <w:tcPr>
            <w:tcW w:w="7860" w:type="dxa"/>
            <w:gridSpan w:val="2"/>
            <w:vAlign w:val="center"/>
          </w:tcPr>
          <w:p w14:paraId="517D1BB8" w14:textId="77777777" w:rsidR="005305CF" w:rsidRDefault="005305CF" w:rsidP="00AA0A99">
            <w:pPr>
              <w:shd w:val="clear" w:color="auto" w:fill="FFFFFF"/>
              <w:rPr>
                <w:lang w:eastAsia="zh-TW"/>
              </w:rPr>
            </w:pPr>
            <w:r>
              <w:rPr>
                <w:lang w:eastAsia="zh-TW"/>
              </w:rPr>
              <w:t xml:space="preserve">C.K. Choi </w:t>
            </w:r>
          </w:p>
        </w:tc>
      </w:tr>
    </w:tbl>
    <w:p w14:paraId="797712AB" w14:textId="77777777" w:rsidR="005305CF" w:rsidRDefault="005305CF" w:rsidP="005305CF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14:paraId="68142ED1" w14:textId="1F1DA0D5" w:rsidR="005305CF" w:rsidRDefault="00842A3A" w:rsidP="005305CF">
      <w:pPr>
        <w:rPr>
          <w:i/>
          <w:sz w:val="18"/>
          <w:szCs w:val="18"/>
          <w:lang w:eastAsia="zh-TW"/>
        </w:rPr>
      </w:pPr>
      <w:r>
        <w:rPr>
          <w:i/>
          <w:sz w:val="16"/>
          <w:szCs w:val="16"/>
        </w:rPr>
        <w:t xml:space="preserve">May </w:t>
      </w:r>
      <w:r w:rsidR="005305CF">
        <w:rPr>
          <w:i/>
          <w:sz w:val="16"/>
          <w:szCs w:val="16"/>
        </w:rPr>
        <w:t>202</w:t>
      </w:r>
      <w:r w:rsidR="00970D52">
        <w:rPr>
          <w:i/>
          <w:sz w:val="16"/>
          <w:szCs w:val="16"/>
        </w:rPr>
        <w:t>5</w:t>
      </w:r>
    </w:p>
    <w:p w14:paraId="366B2E84" w14:textId="77777777" w:rsidR="005305CF" w:rsidRPr="00E23145" w:rsidRDefault="005305CF" w:rsidP="00E23145">
      <w:pPr>
        <w:ind w:right="119"/>
        <w:rPr>
          <w:i/>
          <w:sz w:val="20"/>
        </w:rPr>
      </w:pPr>
    </w:p>
    <w:sectPr w:rsidR="005305CF" w:rsidRPr="00E23145" w:rsidSect="0072404E">
      <w:footerReference w:type="default" r:id="rId22"/>
      <w:type w:val="continuous"/>
      <w:pgSz w:w="11910" w:h="16840"/>
      <w:pgMar w:top="851" w:right="1137" w:bottom="853" w:left="1077" w:header="720" w:footer="4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1F45B" w14:textId="77777777" w:rsidR="00664801" w:rsidRDefault="00664801">
      <w:r>
        <w:separator/>
      </w:r>
    </w:p>
  </w:endnote>
  <w:endnote w:type="continuationSeparator" w:id="0">
    <w:p w14:paraId="0ABF4AEA" w14:textId="77777777" w:rsidR="00664801" w:rsidRDefault="0066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04428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644C34" w14:textId="7E4972D5" w:rsidR="00E75A77" w:rsidRDefault="00E75A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1A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13117" w14:textId="77777777" w:rsidR="00664801" w:rsidRDefault="00664801">
      <w:r>
        <w:separator/>
      </w:r>
    </w:p>
  </w:footnote>
  <w:footnote w:type="continuationSeparator" w:id="0">
    <w:p w14:paraId="1BE3D9CE" w14:textId="77777777" w:rsidR="00664801" w:rsidRDefault="00664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90E"/>
    <w:multiLevelType w:val="multilevel"/>
    <w:tmpl w:val="00FB490E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22E3ADC"/>
    <w:multiLevelType w:val="multilevel"/>
    <w:tmpl w:val="022E3ADC"/>
    <w:lvl w:ilvl="0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" w15:restartNumberingAfterBreak="0">
    <w:nsid w:val="04F43B50"/>
    <w:multiLevelType w:val="hybridMultilevel"/>
    <w:tmpl w:val="753297B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43EA7"/>
    <w:multiLevelType w:val="multilevel"/>
    <w:tmpl w:val="0BA43EA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64BEE"/>
    <w:multiLevelType w:val="hybridMultilevel"/>
    <w:tmpl w:val="5BDC9FA6"/>
    <w:lvl w:ilvl="0" w:tplc="3C6ED7D8">
      <w:start w:val="1"/>
      <w:numFmt w:val="lowerRoman"/>
      <w:lvlText w:val="(%1)"/>
      <w:lvlJc w:val="left"/>
      <w:pPr>
        <w:ind w:left="987" w:hanging="67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FA8EB27A">
      <w:numFmt w:val="bullet"/>
      <w:lvlText w:val="•"/>
      <w:lvlJc w:val="left"/>
      <w:pPr>
        <w:ind w:left="1820" w:hanging="675"/>
      </w:pPr>
      <w:rPr>
        <w:rFonts w:hint="default"/>
        <w:lang w:val="en-US" w:eastAsia="en-US" w:bidi="ar-SA"/>
      </w:rPr>
    </w:lvl>
    <w:lvl w:ilvl="2" w:tplc="94D2BC54">
      <w:numFmt w:val="bullet"/>
      <w:lvlText w:val="•"/>
      <w:lvlJc w:val="left"/>
      <w:pPr>
        <w:ind w:left="2661" w:hanging="675"/>
      </w:pPr>
      <w:rPr>
        <w:rFonts w:hint="default"/>
        <w:lang w:val="en-US" w:eastAsia="en-US" w:bidi="ar-SA"/>
      </w:rPr>
    </w:lvl>
    <w:lvl w:ilvl="3" w:tplc="79A05DAE">
      <w:numFmt w:val="bullet"/>
      <w:lvlText w:val="•"/>
      <w:lvlJc w:val="left"/>
      <w:pPr>
        <w:ind w:left="3501" w:hanging="675"/>
      </w:pPr>
      <w:rPr>
        <w:rFonts w:hint="default"/>
        <w:lang w:val="en-US" w:eastAsia="en-US" w:bidi="ar-SA"/>
      </w:rPr>
    </w:lvl>
    <w:lvl w:ilvl="4" w:tplc="580C3DBC">
      <w:numFmt w:val="bullet"/>
      <w:lvlText w:val="•"/>
      <w:lvlJc w:val="left"/>
      <w:pPr>
        <w:ind w:left="4342" w:hanging="675"/>
      </w:pPr>
      <w:rPr>
        <w:rFonts w:hint="default"/>
        <w:lang w:val="en-US" w:eastAsia="en-US" w:bidi="ar-SA"/>
      </w:rPr>
    </w:lvl>
    <w:lvl w:ilvl="5" w:tplc="CDC6B702">
      <w:numFmt w:val="bullet"/>
      <w:lvlText w:val="•"/>
      <w:lvlJc w:val="left"/>
      <w:pPr>
        <w:ind w:left="5183" w:hanging="675"/>
      </w:pPr>
      <w:rPr>
        <w:rFonts w:hint="default"/>
        <w:lang w:val="en-US" w:eastAsia="en-US" w:bidi="ar-SA"/>
      </w:rPr>
    </w:lvl>
    <w:lvl w:ilvl="6" w:tplc="5CC437B8">
      <w:numFmt w:val="bullet"/>
      <w:lvlText w:val="•"/>
      <w:lvlJc w:val="left"/>
      <w:pPr>
        <w:ind w:left="6023" w:hanging="675"/>
      </w:pPr>
      <w:rPr>
        <w:rFonts w:hint="default"/>
        <w:lang w:val="en-US" w:eastAsia="en-US" w:bidi="ar-SA"/>
      </w:rPr>
    </w:lvl>
    <w:lvl w:ilvl="7" w:tplc="F17CB0D4">
      <w:numFmt w:val="bullet"/>
      <w:lvlText w:val="•"/>
      <w:lvlJc w:val="left"/>
      <w:pPr>
        <w:ind w:left="6864" w:hanging="675"/>
      </w:pPr>
      <w:rPr>
        <w:rFonts w:hint="default"/>
        <w:lang w:val="en-US" w:eastAsia="en-US" w:bidi="ar-SA"/>
      </w:rPr>
    </w:lvl>
    <w:lvl w:ilvl="8" w:tplc="3AFE9ECE">
      <w:numFmt w:val="bullet"/>
      <w:lvlText w:val="•"/>
      <w:lvlJc w:val="left"/>
      <w:pPr>
        <w:ind w:left="7705" w:hanging="675"/>
      </w:pPr>
      <w:rPr>
        <w:rFonts w:hint="default"/>
        <w:lang w:val="en-US" w:eastAsia="en-US" w:bidi="ar-SA"/>
      </w:rPr>
    </w:lvl>
  </w:abstractNum>
  <w:abstractNum w:abstractNumId="5" w15:restartNumberingAfterBreak="0">
    <w:nsid w:val="19591364"/>
    <w:multiLevelType w:val="multilevel"/>
    <w:tmpl w:val="1959136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9A8773A"/>
    <w:multiLevelType w:val="hybridMultilevel"/>
    <w:tmpl w:val="9552F8A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F452E2"/>
    <w:multiLevelType w:val="multilevel"/>
    <w:tmpl w:val="21F45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2685E"/>
    <w:multiLevelType w:val="multilevel"/>
    <w:tmpl w:val="33B2685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3DA357ED"/>
    <w:multiLevelType w:val="multilevel"/>
    <w:tmpl w:val="3DA357ED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59432E"/>
    <w:multiLevelType w:val="hybridMultilevel"/>
    <w:tmpl w:val="0866833E"/>
    <w:lvl w:ilvl="0" w:tplc="127C96B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C090019">
      <w:start w:val="1"/>
      <w:numFmt w:val="lowerLetter"/>
      <w:lvlText w:val="%2."/>
      <w:lvlJc w:val="left"/>
      <w:pPr>
        <w:ind w:left="1080" w:hanging="360"/>
      </w:pPr>
    </w:lvl>
    <w:lvl w:ilvl="2" w:tplc="3C09001B" w:tentative="1">
      <w:start w:val="1"/>
      <w:numFmt w:val="lowerRoman"/>
      <w:lvlText w:val="%3."/>
      <w:lvlJc w:val="right"/>
      <w:pPr>
        <w:ind w:left="1800" w:hanging="180"/>
      </w:pPr>
    </w:lvl>
    <w:lvl w:ilvl="3" w:tplc="3C09000F" w:tentative="1">
      <w:start w:val="1"/>
      <w:numFmt w:val="decimal"/>
      <w:lvlText w:val="%4."/>
      <w:lvlJc w:val="left"/>
      <w:pPr>
        <w:ind w:left="2520" w:hanging="360"/>
      </w:pPr>
    </w:lvl>
    <w:lvl w:ilvl="4" w:tplc="3C090019" w:tentative="1">
      <w:start w:val="1"/>
      <w:numFmt w:val="lowerLetter"/>
      <w:lvlText w:val="%5."/>
      <w:lvlJc w:val="left"/>
      <w:pPr>
        <w:ind w:left="3240" w:hanging="360"/>
      </w:pPr>
    </w:lvl>
    <w:lvl w:ilvl="5" w:tplc="3C09001B" w:tentative="1">
      <w:start w:val="1"/>
      <w:numFmt w:val="lowerRoman"/>
      <w:lvlText w:val="%6."/>
      <w:lvlJc w:val="right"/>
      <w:pPr>
        <w:ind w:left="3960" w:hanging="180"/>
      </w:pPr>
    </w:lvl>
    <w:lvl w:ilvl="6" w:tplc="3C09000F" w:tentative="1">
      <w:start w:val="1"/>
      <w:numFmt w:val="decimal"/>
      <w:lvlText w:val="%7."/>
      <w:lvlJc w:val="left"/>
      <w:pPr>
        <w:ind w:left="4680" w:hanging="360"/>
      </w:pPr>
    </w:lvl>
    <w:lvl w:ilvl="7" w:tplc="3C090019" w:tentative="1">
      <w:start w:val="1"/>
      <w:numFmt w:val="lowerLetter"/>
      <w:lvlText w:val="%8."/>
      <w:lvlJc w:val="left"/>
      <w:pPr>
        <w:ind w:left="5400" w:hanging="360"/>
      </w:pPr>
    </w:lvl>
    <w:lvl w:ilvl="8" w:tplc="3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5D2E5F"/>
    <w:multiLevelType w:val="multilevel"/>
    <w:tmpl w:val="4D5D2E5F"/>
    <w:lvl w:ilvl="0">
      <w:start w:val="1"/>
      <w:numFmt w:val="decimal"/>
      <w:lvlText w:val="%1."/>
      <w:lvlJc w:val="left"/>
      <w:pPr>
        <w:ind w:left="74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2" w15:restartNumberingAfterBreak="0">
    <w:nsid w:val="68E56F52"/>
    <w:multiLevelType w:val="multilevel"/>
    <w:tmpl w:val="68E56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10250B"/>
    <w:multiLevelType w:val="hybridMultilevel"/>
    <w:tmpl w:val="B00C37E2"/>
    <w:lvl w:ilvl="0" w:tplc="C4EAB6A0">
      <w:start w:val="1"/>
      <w:numFmt w:val="lowerRoman"/>
      <w:lvlText w:val="(%1)"/>
      <w:lvlJc w:val="left"/>
      <w:pPr>
        <w:ind w:left="2846" w:hanging="72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3206" w:hanging="360"/>
      </w:pPr>
    </w:lvl>
    <w:lvl w:ilvl="2" w:tplc="3C09001B" w:tentative="1">
      <w:start w:val="1"/>
      <w:numFmt w:val="lowerRoman"/>
      <w:lvlText w:val="%3."/>
      <w:lvlJc w:val="right"/>
      <w:pPr>
        <w:ind w:left="3926" w:hanging="180"/>
      </w:pPr>
    </w:lvl>
    <w:lvl w:ilvl="3" w:tplc="3C09000F" w:tentative="1">
      <w:start w:val="1"/>
      <w:numFmt w:val="decimal"/>
      <w:lvlText w:val="%4."/>
      <w:lvlJc w:val="left"/>
      <w:pPr>
        <w:ind w:left="4646" w:hanging="360"/>
      </w:pPr>
    </w:lvl>
    <w:lvl w:ilvl="4" w:tplc="3C090019" w:tentative="1">
      <w:start w:val="1"/>
      <w:numFmt w:val="lowerLetter"/>
      <w:lvlText w:val="%5."/>
      <w:lvlJc w:val="left"/>
      <w:pPr>
        <w:ind w:left="5366" w:hanging="360"/>
      </w:pPr>
    </w:lvl>
    <w:lvl w:ilvl="5" w:tplc="3C09001B" w:tentative="1">
      <w:start w:val="1"/>
      <w:numFmt w:val="lowerRoman"/>
      <w:lvlText w:val="%6."/>
      <w:lvlJc w:val="right"/>
      <w:pPr>
        <w:ind w:left="6086" w:hanging="180"/>
      </w:pPr>
    </w:lvl>
    <w:lvl w:ilvl="6" w:tplc="3C09000F" w:tentative="1">
      <w:start w:val="1"/>
      <w:numFmt w:val="decimal"/>
      <w:lvlText w:val="%7."/>
      <w:lvlJc w:val="left"/>
      <w:pPr>
        <w:ind w:left="6806" w:hanging="360"/>
      </w:pPr>
    </w:lvl>
    <w:lvl w:ilvl="7" w:tplc="3C090019" w:tentative="1">
      <w:start w:val="1"/>
      <w:numFmt w:val="lowerLetter"/>
      <w:lvlText w:val="%8."/>
      <w:lvlJc w:val="left"/>
      <w:pPr>
        <w:ind w:left="7526" w:hanging="360"/>
      </w:pPr>
    </w:lvl>
    <w:lvl w:ilvl="8" w:tplc="3C09001B" w:tentative="1">
      <w:start w:val="1"/>
      <w:numFmt w:val="lowerRoman"/>
      <w:lvlText w:val="%9."/>
      <w:lvlJc w:val="right"/>
      <w:pPr>
        <w:ind w:left="8246" w:hanging="180"/>
      </w:pPr>
    </w:lvl>
  </w:abstractNum>
  <w:num w:numId="1">
    <w:abstractNumId w:val="4"/>
  </w:num>
  <w:num w:numId="2">
    <w:abstractNumId w:val="1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12"/>
  </w:num>
  <w:num w:numId="10">
    <w:abstractNumId w:val="5"/>
  </w:num>
  <w:num w:numId="11">
    <w:abstractNumId w:val="7"/>
  </w:num>
  <w:num w:numId="12">
    <w:abstractNumId w:val="0"/>
  </w:num>
  <w:num w:numId="13">
    <w:abstractNumId w:val="1"/>
  </w:num>
  <w:num w:numId="14">
    <w:abstractNumId w:val="9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C4B"/>
    <w:rsid w:val="000119FB"/>
    <w:rsid w:val="000172DC"/>
    <w:rsid w:val="00047171"/>
    <w:rsid w:val="0008378D"/>
    <w:rsid w:val="000B5212"/>
    <w:rsid w:val="000B74CA"/>
    <w:rsid w:val="000C6EA9"/>
    <w:rsid w:val="000D1DB0"/>
    <w:rsid w:val="000E007C"/>
    <w:rsid w:val="00121788"/>
    <w:rsid w:val="001342DB"/>
    <w:rsid w:val="00174934"/>
    <w:rsid w:val="001E2102"/>
    <w:rsid w:val="0021464A"/>
    <w:rsid w:val="00222633"/>
    <w:rsid w:val="00280295"/>
    <w:rsid w:val="002B0074"/>
    <w:rsid w:val="002B0C1D"/>
    <w:rsid w:val="002C7C4B"/>
    <w:rsid w:val="002D21FD"/>
    <w:rsid w:val="002F1A41"/>
    <w:rsid w:val="00323D29"/>
    <w:rsid w:val="003411B1"/>
    <w:rsid w:val="00345041"/>
    <w:rsid w:val="00353BB4"/>
    <w:rsid w:val="00361BB5"/>
    <w:rsid w:val="00367AD0"/>
    <w:rsid w:val="003A6391"/>
    <w:rsid w:val="003A7BFF"/>
    <w:rsid w:val="003B6D27"/>
    <w:rsid w:val="003D0300"/>
    <w:rsid w:val="003D7174"/>
    <w:rsid w:val="003D7B2F"/>
    <w:rsid w:val="003E5755"/>
    <w:rsid w:val="00424DFC"/>
    <w:rsid w:val="00433B15"/>
    <w:rsid w:val="00444843"/>
    <w:rsid w:val="00446AFF"/>
    <w:rsid w:val="00457575"/>
    <w:rsid w:val="00460783"/>
    <w:rsid w:val="00465616"/>
    <w:rsid w:val="004710A5"/>
    <w:rsid w:val="004735F2"/>
    <w:rsid w:val="004A7533"/>
    <w:rsid w:val="00501A1E"/>
    <w:rsid w:val="00513291"/>
    <w:rsid w:val="005305CF"/>
    <w:rsid w:val="005804B0"/>
    <w:rsid w:val="005A33E3"/>
    <w:rsid w:val="005F2E92"/>
    <w:rsid w:val="005F66E3"/>
    <w:rsid w:val="00623943"/>
    <w:rsid w:val="00645CCB"/>
    <w:rsid w:val="006501EE"/>
    <w:rsid w:val="00663776"/>
    <w:rsid w:val="00664801"/>
    <w:rsid w:val="0066674C"/>
    <w:rsid w:val="0068085F"/>
    <w:rsid w:val="006868FD"/>
    <w:rsid w:val="006B25EE"/>
    <w:rsid w:val="006C5742"/>
    <w:rsid w:val="006E6820"/>
    <w:rsid w:val="006E696F"/>
    <w:rsid w:val="0072404E"/>
    <w:rsid w:val="00750704"/>
    <w:rsid w:val="00791847"/>
    <w:rsid w:val="007A72FE"/>
    <w:rsid w:val="007B685D"/>
    <w:rsid w:val="007D1A4F"/>
    <w:rsid w:val="007D545F"/>
    <w:rsid w:val="007F26E8"/>
    <w:rsid w:val="00813E19"/>
    <w:rsid w:val="008365AD"/>
    <w:rsid w:val="00842A3A"/>
    <w:rsid w:val="00844286"/>
    <w:rsid w:val="008578E3"/>
    <w:rsid w:val="00857EA2"/>
    <w:rsid w:val="00884188"/>
    <w:rsid w:val="008B62A8"/>
    <w:rsid w:val="008C24A9"/>
    <w:rsid w:val="008E0381"/>
    <w:rsid w:val="009131FF"/>
    <w:rsid w:val="00921121"/>
    <w:rsid w:val="009226C6"/>
    <w:rsid w:val="00926B9B"/>
    <w:rsid w:val="00926D3C"/>
    <w:rsid w:val="009422A8"/>
    <w:rsid w:val="00970D52"/>
    <w:rsid w:val="00983304"/>
    <w:rsid w:val="009B016B"/>
    <w:rsid w:val="009B7C21"/>
    <w:rsid w:val="00A0474C"/>
    <w:rsid w:val="00A101D1"/>
    <w:rsid w:val="00A57E9E"/>
    <w:rsid w:val="00A973D6"/>
    <w:rsid w:val="00AA4D10"/>
    <w:rsid w:val="00B03844"/>
    <w:rsid w:val="00B074E8"/>
    <w:rsid w:val="00B21FC6"/>
    <w:rsid w:val="00B601CB"/>
    <w:rsid w:val="00B82681"/>
    <w:rsid w:val="00BC2C80"/>
    <w:rsid w:val="00C07D83"/>
    <w:rsid w:val="00C60BFE"/>
    <w:rsid w:val="00CC7135"/>
    <w:rsid w:val="00CD2B07"/>
    <w:rsid w:val="00CF27D7"/>
    <w:rsid w:val="00D067BA"/>
    <w:rsid w:val="00D43E05"/>
    <w:rsid w:val="00D5645D"/>
    <w:rsid w:val="00D66581"/>
    <w:rsid w:val="00D7390C"/>
    <w:rsid w:val="00D73EFD"/>
    <w:rsid w:val="00D76909"/>
    <w:rsid w:val="00D83702"/>
    <w:rsid w:val="00D931B0"/>
    <w:rsid w:val="00D96FAB"/>
    <w:rsid w:val="00DA4571"/>
    <w:rsid w:val="00DC7C2C"/>
    <w:rsid w:val="00DF3D70"/>
    <w:rsid w:val="00E16118"/>
    <w:rsid w:val="00E23145"/>
    <w:rsid w:val="00E3322B"/>
    <w:rsid w:val="00E47A2E"/>
    <w:rsid w:val="00E65F60"/>
    <w:rsid w:val="00E75A77"/>
    <w:rsid w:val="00EA3B0A"/>
    <w:rsid w:val="00EC47AA"/>
    <w:rsid w:val="00ED1F00"/>
    <w:rsid w:val="00ED6198"/>
    <w:rsid w:val="00ED6CDF"/>
    <w:rsid w:val="00F06A59"/>
    <w:rsid w:val="00F85033"/>
    <w:rsid w:val="00FB7DA0"/>
    <w:rsid w:val="00FC4748"/>
    <w:rsid w:val="00FC55D2"/>
    <w:rsid w:val="00FD64B3"/>
    <w:rsid w:val="00FF6608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518A2"/>
  <w15:docId w15:val="{D5601C0B-DB30-4A28-BE13-92AF3BBD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</w:rPr>
  </w:style>
  <w:style w:type="paragraph" w:styleId="Title">
    <w:name w:val="Title"/>
    <w:basedOn w:val="Normal"/>
    <w:uiPriority w:val="10"/>
    <w:qFormat/>
    <w:pPr>
      <w:ind w:left="2247" w:hanging="108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987" w:right="217" w:hanging="67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07"/>
    </w:pPr>
  </w:style>
  <w:style w:type="paragraph" w:styleId="Header">
    <w:name w:val="header"/>
    <w:basedOn w:val="Normal"/>
    <w:link w:val="HeaderChar"/>
    <w:uiPriority w:val="99"/>
    <w:rsid w:val="00BC2C80"/>
    <w:pPr>
      <w:widowControl/>
      <w:tabs>
        <w:tab w:val="center" w:pos="4320"/>
        <w:tab w:val="right" w:pos="8640"/>
      </w:tabs>
      <w:autoSpaceDE/>
      <w:autoSpaceDN/>
    </w:pPr>
    <w:rPr>
      <w:rFonts w:eastAsia="PMingLiU"/>
      <w:sz w:val="24"/>
      <w:szCs w:val="20"/>
      <w:lang w:val="en-GB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C2C80"/>
    <w:rPr>
      <w:rFonts w:ascii="Times New Roman" w:eastAsia="PMingLiU" w:hAnsi="Times New Roman" w:cs="Times New Roman"/>
      <w:sz w:val="24"/>
      <w:szCs w:val="20"/>
      <w:lang w:val="en-GB" w:eastAsia="zh-CN"/>
    </w:rPr>
  </w:style>
  <w:style w:type="table" w:styleId="TableGrid">
    <w:name w:val="Table Grid"/>
    <w:basedOn w:val="TableNormal"/>
    <w:uiPriority w:val="39"/>
    <w:rsid w:val="00D73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96F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FAB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E57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0B52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212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62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62A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62A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F26E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B15"/>
    <w:rPr>
      <w:color w:val="605E5C"/>
      <w:shd w:val="clear" w:color="auto" w:fill="E1DFDD"/>
    </w:rPr>
  </w:style>
  <w:style w:type="paragraph" w:customStyle="1" w:styleId="Default">
    <w:name w:val="Default"/>
    <w:rsid w:val="004735F2"/>
    <w:pPr>
      <w:widowControl/>
      <w:adjustRightInd w:val="0"/>
    </w:pPr>
    <w:rPr>
      <w:rFonts w:ascii="Arial" w:hAnsi="Arial" w:cs="Arial"/>
      <w:color w:val="000000"/>
      <w:sz w:val="24"/>
      <w:szCs w:val="24"/>
      <w:lang w:val="en-HK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305CF"/>
  </w:style>
  <w:style w:type="character" w:customStyle="1" w:styleId="DateChar">
    <w:name w:val="Date Char"/>
    <w:basedOn w:val="DefaultParagraphFont"/>
    <w:link w:val="Date"/>
    <w:uiPriority w:val="99"/>
    <w:semiHidden/>
    <w:rsid w:val="005305CF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9B7C21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lyu.edu.hk/en/eee/" TargetMode="External"/><Relationship Id="rId18" Type="http://schemas.openxmlformats.org/officeDocument/2006/relationships/hyperlink" Target="https://www.managers.org.uk/community/regional-networks/hong-kong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UCDwNWSXFHk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polyu.edu.hk/en/bme/" TargetMode="External"/><Relationship Id="rId17" Type="http://schemas.openxmlformats.org/officeDocument/2006/relationships/hyperlink" Target="https://www.cilt.org.hk/en-US/Default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kie.org.hk/en/" TargetMode="External"/><Relationship Id="rId20" Type="http://schemas.openxmlformats.org/officeDocument/2006/relationships/hyperlink" Target="https://www.epd.gov.hk/epd/english/top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olyu.edu.hk/en/feng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polyu.edu.hk/en/me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cac.org.hk/en/home/index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lyu.edu.hk/en/ise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7191305DF5C498313FCF70F3A2B6A" ma:contentTypeVersion="10" ma:contentTypeDescription="Create a new document." ma:contentTypeScope="" ma:versionID="a2a11365130273d3df850355b70fbedf">
  <xsd:schema xmlns:xsd="http://www.w3.org/2001/XMLSchema" xmlns:xs="http://www.w3.org/2001/XMLSchema" xmlns:p="http://schemas.microsoft.com/office/2006/metadata/properties" xmlns:ns2="b4b8df6e-3a67-456b-b4ca-6dc5b70c1dae" xmlns:ns3="cb525b98-fdfb-4d58-b079-964fec450e27" targetNamespace="http://schemas.microsoft.com/office/2006/metadata/properties" ma:root="true" ma:fieldsID="1f6e87fb93b1b65a4deab7b5fdb5b807" ns2:_="" ns3:_="">
    <xsd:import namespace="b4b8df6e-3a67-456b-b4ca-6dc5b70c1dae"/>
    <xsd:import namespace="cb525b98-fdfb-4d58-b079-964fec450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8df6e-3a67-456b-b4ca-6dc5b70c1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25b98-fdfb-4d58-b079-964fec450e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AE198-3671-4A3D-8F35-AE46A53FEA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80C4A3-327A-4CB5-97D9-69690843A5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BF7888-5FB4-4843-8FE7-D1C5DB42C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b8df6e-3a67-456b-b4ca-6dc5b70c1dae"/>
    <ds:schemaRef ds:uri="cb525b98-fdfb-4d58-b079-964fec450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37BF54-2140-974A-B8B2-87FAD2AD2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WONG, Eileen [AS]</dc:creator>
  <cp:lastModifiedBy>Wong, Stephanie CM [FENG]</cp:lastModifiedBy>
  <cp:revision>6</cp:revision>
  <cp:lastPrinted>2021-04-20T08:54:00Z</cp:lastPrinted>
  <dcterms:created xsi:type="dcterms:W3CDTF">2025-05-02T08:07:00Z</dcterms:created>
  <dcterms:modified xsi:type="dcterms:W3CDTF">2025-07-14T03:46:00Z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2021-04-12T00:00:00Z</vt:filetime>
  </property>
  <property fmtid="{D5CDD505-2E9C-101B-9397-08002B2CF9AE}" pid="5" name="ContentTypeId">
    <vt:lpwstr>0x0101003397191305DF5C498313FCF70F3A2B6A</vt:lpwstr>
  </property>
</Properties>
</file>