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B092" w14:textId="77777777" w:rsidR="00AA0090" w:rsidRPr="002855E4" w:rsidRDefault="00AA0090" w:rsidP="00AA0090">
      <w:pPr>
        <w:jc w:val="center"/>
        <w:rPr>
          <w:lang w:eastAsia="zh-TW"/>
        </w:rPr>
      </w:pPr>
      <w:r w:rsidRPr="002855E4">
        <w:rPr>
          <w:rFonts w:hint="eastAsia"/>
          <w:b/>
          <w:sz w:val="28"/>
          <w:szCs w:val="28"/>
          <w:u w:val="single"/>
          <w:lang w:eastAsia="zh-TW"/>
        </w:rPr>
        <w:t xml:space="preserve">Subject </w:t>
      </w:r>
      <w:r w:rsidRPr="002855E4">
        <w:rPr>
          <w:b/>
          <w:sz w:val="28"/>
          <w:szCs w:val="28"/>
          <w:u w:val="single"/>
          <w:lang w:eastAsia="zh-TW"/>
        </w:rPr>
        <w:t>Description Form</w:t>
      </w:r>
    </w:p>
    <w:p w14:paraId="27958424" w14:textId="77777777" w:rsidR="00AA0090" w:rsidRPr="002855E4" w:rsidRDefault="00AA0090" w:rsidP="00AA0090">
      <w:pPr>
        <w:rPr>
          <w:lang w:eastAsia="zh-TW"/>
        </w:rPr>
      </w:pPr>
    </w:p>
    <w:p w14:paraId="2DFB2E46" w14:textId="77777777" w:rsidR="00AA0090" w:rsidRPr="002855E4" w:rsidRDefault="00AA0090" w:rsidP="00AA0090">
      <w:pPr>
        <w:rPr>
          <w:sz w:val="16"/>
          <w:szCs w:val="16"/>
          <w:lang w:eastAsia="zh-TW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580"/>
        <w:gridCol w:w="2280"/>
      </w:tblGrid>
      <w:tr w:rsidR="00AA0090" w:rsidRPr="002855E4" w14:paraId="2B12659F" w14:textId="77777777">
        <w:tc>
          <w:tcPr>
            <w:tcW w:w="2340" w:type="dxa"/>
          </w:tcPr>
          <w:p w14:paraId="182AFB10" w14:textId="77777777" w:rsidR="00AA0090" w:rsidRPr="002855E4" w:rsidRDefault="00AA0090" w:rsidP="00EC15AC">
            <w:pPr>
              <w:spacing w:before="120" w:after="120"/>
              <w:rPr>
                <w:b/>
                <w:sz w:val="22"/>
                <w:szCs w:val="22"/>
              </w:rPr>
            </w:pPr>
            <w:r w:rsidRPr="002855E4">
              <w:rPr>
                <w:b/>
                <w:sz w:val="22"/>
                <w:szCs w:val="22"/>
              </w:rPr>
              <w:t>Subject Code</w:t>
            </w:r>
          </w:p>
        </w:tc>
        <w:tc>
          <w:tcPr>
            <w:tcW w:w="7860" w:type="dxa"/>
            <w:gridSpan w:val="2"/>
          </w:tcPr>
          <w:p w14:paraId="43EE612A" w14:textId="77777777" w:rsidR="00AA0090" w:rsidRPr="002855E4" w:rsidRDefault="004C3D98" w:rsidP="001664B6">
            <w:pPr>
              <w:spacing w:before="120" w:after="120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ENG4001</w:t>
            </w:r>
          </w:p>
        </w:tc>
      </w:tr>
      <w:tr w:rsidR="00AA0090" w:rsidRPr="002855E4" w14:paraId="2BCA679F" w14:textId="77777777">
        <w:tc>
          <w:tcPr>
            <w:tcW w:w="2340" w:type="dxa"/>
          </w:tcPr>
          <w:p w14:paraId="7BD144AC" w14:textId="77777777" w:rsidR="00AA0090" w:rsidRPr="002855E4" w:rsidRDefault="00AA0090" w:rsidP="00EC15AC">
            <w:pPr>
              <w:spacing w:before="120" w:after="120"/>
              <w:rPr>
                <w:b/>
                <w:sz w:val="22"/>
                <w:szCs w:val="22"/>
              </w:rPr>
            </w:pPr>
            <w:r w:rsidRPr="002855E4">
              <w:rPr>
                <w:b/>
                <w:sz w:val="22"/>
                <w:szCs w:val="22"/>
              </w:rPr>
              <w:t>Subject Title</w:t>
            </w:r>
          </w:p>
        </w:tc>
        <w:tc>
          <w:tcPr>
            <w:tcW w:w="7860" w:type="dxa"/>
            <w:gridSpan w:val="2"/>
          </w:tcPr>
          <w:p w14:paraId="2644785E" w14:textId="77777777" w:rsidR="00AA0090" w:rsidRPr="002855E4" w:rsidRDefault="00AA0090" w:rsidP="00EC15AC">
            <w:pPr>
              <w:spacing w:before="120" w:after="120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Project Management</w:t>
            </w:r>
          </w:p>
        </w:tc>
      </w:tr>
      <w:tr w:rsidR="00AA0090" w:rsidRPr="002855E4" w14:paraId="4C1F33F2" w14:textId="77777777">
        <w:tc>
          <w:tcPr>
            <w:tcW w:w="2340" w:type="dxa"/>
          </w:tcPr>
          <w:p w14:paraId="0EF5FE74" w14:textId="77777777" w:rsidR="00AA0090" w:rsidRPr="002855E4" w:rsidRDefault="00AA0090" w:rsidP="00EC15AC">
            <w:pPr>
              <w:spacing w:before="120" w:after="120"/>
              <w:rPr>
                <w:b/>
                <w:sz w:val="22"/>
                <w:szCs w:val="22"/>
              </w:rPr>
            </w:pPr>
            <w:r w:rsidRPr="002855E4">
              <w:rPr>
                <w:b/>
                <w:sz w:val="22"/>
                <w:szCs w:val="22"/>
              </w:rPr>
              <w:t>Credit Value</w:t>
            </w:r>
          </w:p>
        </w:tc>
        <w:tc>
          <w:tcPr>
            <w:tcW w:w="7860" w:type="dxa"/>
            <w:gridSpan w:val="2"/>
          </w:tcPr>
          <w:p w14:paraId="0E2F6AC1" w14:textId="77777777" w:rsidR="00AA0090" w:rsidRPr="002855E4" w:rsidRDefault="00AA0090" w:rsidP="00EC15AC">
            <w:pPr>
              <w:spacing w:before="120" w:after="120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3</w:t>
            </w:r>
          </w:p>
        </w:tc>
      </w:tr>
      <w:tr w:rsidR="00AA0090" w:rsidRPr="002855E4" w14:paraId="10849D3B" w14:textId="77777777">
        <w:tc>
          <w:tcPr>
            <w:tcW w:w="2340" w:type="dxa"/>
          </w:tcPr>
          <w:p w14:paraId="6418AFD7" w14:textId="77777777" w:rsidR="00AA0090" w:rsidRPr="002855E4" w:rsidRDefault="00AA0090" w:rsidP="00EC15AC">
            <w:pPr>
              <w:spacing w:before="120" w:after="120"/>
              <w:rPr>
                <w:b/>
                <w:sz w:val="22"/>
                <w:szCs w:val="22"/>
              </w:rPr>
            </w:pPr>
            <w:r w:rsidRPr="002855E4">
              <w:rPr>
                <w:b/>
                <w:sz w:val="22"/>
                <w:szCs w:val="22"/>
              </w:rPr>
              <w:t>Level</w:t>
            </w:r>
          </w:p>
        </w:tc>
        <w:tc>
          <w:tcPr>
            <w:tcW w:w="7860" w:type="dxa"/>
            <w:gridSpan w:val="2"/>
          </w:tcPr>
          <w:p w14:paraId="221EBEA6" w14:textId="77777777" w:rsidR="00AA0090" w:rsidRPr="002855E4" w:rsidRDefault="00AA0090" w:rsidP="00EC15AC">
            <w:pPr>
              <w:spacing w:before="120" w:after="120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4</w:t>
            </w:r>
          </w:p>
        </w:tc>
      </w:tr>
      <w:tr w:rsidR="00AA0090" w:rsidRPr="002855E4" w14:paraId="7876E5D5" w14:textId="77777777">
        <w:tc>
          <w:tcPr>
            <w:tcW w:w="2340" w:type="dxa"/>
          </w:tcPr>
          <w:p w14:paraId="4A909961" w14:textId="77777777" w:rsidR="00AA0090" w:rsidRPr="002855E4" w:rsidRDefault="00AA0090" w:rsidP="00EC15AC">
            <w:pPr>
              <w:spacing w:before="120" w:after="120"/>
              <w:rPr>
                <w:b/>
                <w:sz w:val="22"/>
                <w:szCs w:val="22"/>
              </w:rPr>
            </w:pPr>
            <w:r w:rsidRPr="002855E4">
              <w:rPr>
                <w:b/>
                <w:sz w:val="22"/>
                <w:szCs w:val="22"/>
              </w:rPr>
              <w:t>Pre-requisite/Co-requisite/Exclusion</w:t>
            </w:r>
          </w:p>
        </w:tc>
        <w:tc>
          <w:tcPr>
            <w:tcW w:w="7860" w:type="dxa"/>
            <w:gridSpan w:val="2"/>
            <w:vAlign w:val="center"/>
          </w:tcPr>
          <w:p w14:paraId="2858F9E1" w14:textId="77777777" w:rsidR="00AA0090" w:rsidRPr="002855E4" w:rsidRDefault="00AA0090" w:rsidP="00EC15AC">
            <w:pPr>
              <w:spacing w:before="120" w:after="120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N</w:t>
            </w:r>
            <w:r w:rsidR="00AF386A" w:rsidRPr="002855E4">
              <w:rPr>
                <w:sz w:val="22"/>
                <w:szCs w:val="22"/>
              </w:rPr>
              <w:t>il</w:t>
            </w:r>
          </w:p>
        </w:tc>
      </w:tr>
      <w:tr w:rsidR="00AA0090" w:rsidRPr="002855E4" w14:paraId="14F415F1" w14:textId="77777777">
        <w:tc>
          <w:tcPr>
            <w:tcW w:w="2340" w:type="dxa"/>
          </w:tcPr>
          <w:p w14:paraId="045C05F5" w14:textId="77777777" w:rsidR="00AA0090" w:rsidRPr="002855E4" w:rsidRDefault="00AA0090" w:rsidP="00EC15AC">
            <w:pPr>
              <w:spacing w:before="120" w:after="120"/>
              <w:rPr>
                <w:b/>
                <w:sz w:val="22"/>
                <w:szCs w:val="22"/>
              </w:rPr>
            </w:pPr>
            <w:r w:rsidRPr="002855E4">
              <w:rPr>
                <w:b/>
                <w:sz w:val="22"/>
                <w:szCs w:val="22"/>
              </w:rPr>
              <w:t>Objectives</w:t>
            </w:r>
          </w:p>
          <w:p w14:paraId="595D38EE" w14:textId="77777777" w:rsidR="00AA0090" w:rsidRPr="002855E4" w:rsidRDefault="00AA0090" w:rsidP="00EC15A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60" w:type="dxa"/>
            <w:gridSpan w:val="2"/>
          </w:tcPr>
          <w:p w14:paraId="685DF3C0" w14:textId="77777777" w:rsidR="00AA0090" w:rsidRPr="002855E4" w:rsidRDefault="00AA0090" w:rsidP="00EC15AC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 xml:space="preserve">This subject provides students with knowledge </w:t>
            </w:r>
            <w:r w:rsidR="00EF6B30" w:rsidRPr="002855E4">
              <w:rPr>
                <w:sz w:val="22"/>
                <w:szCs w:val="22"/>
              </w:rPr>
              <w:t>in</w:t>
            </w:r>
            <w:r w:rsidR="00C6704A" w:rsidRPr="002855E4">
              <w:rPr>
                <w:sz w:val="22"/>
                <w:szCs w:val="22"/>
              </w:rPr>
              <w:t>:</w:t>
            </w:r>
          </w:p>
          <w:p w14:paraId="775CFF2A" w14:textId="77777777" w:rsidR="002704D5" w:rsidRPr="002855E4" w:rsidRDefault="00AA0090" w:rsidP="00EC15AC">
            <w:pPr>
              <w:numPr>
                <w:ilvl w:val="0"/>
                <w:numId w:val="15"/>
              </w:numPr>
              <w:tabs>
                <w:tab w:val="left" w:pos="537"/>
              </w:tabs>
              <w:ind w:left="522" w:hanging="522"/>
              <w:jc w:val="both"/>
              <w:rPr>
                <w:sz w:val="22"/>
                <w:szCs w:val="22"/>
                <w:lang w:eastAsia="zh-TW"/>
              </w:rPr>
            </w:pPr>
            <w:r w:rsidRPr="002855E4">
              <w:rPr>
                <w:sz w:val="22"/>
                <w:szCs w:val="22"/>
              </w:rPr>
              <w:t xml:space="preserve">project </w:t>
            </w:r>
            <w:r w:rsidR="00E71FCE" w:rsidRPr="002855E4">
              <w:rPr>
                <w:sz w:val="22"/>
                <w:szCs w:val="22"/>
              </w:rPr>
              <w:t>management</w:t>
            </w:r>
            <w:r w:rsidRPr="002855E4">
              <w:rPr>
                <w:sz w:val="22"/>
                <w:szCs w:val="22"/>
              </w:rPr>
              <w:t xml:space="preserve"> </w:t>
            </w:r>
            <w:r w:rsidR="009A596D" w:rsidRPr="002855E4">
              <w:rPr>
                <w:sz w:val="22"/>
                <w:szCs w:val="22"/>
              </w:rPr>
              <w:t xml:space="preserve">tools </w:t>
            </w:r>
            <w:r w:rsidRPr="002855E4">
              <w:rPr>
                <w:sz w:val="22"/>
                <w:szCs w:val="22"/>
              </w:rPr>
              <w:t xml:space="preserve">in business </w:t>
            </w:r>
            <w:r w:rsidR="00E71FCE" w:rsidRPr="002855E4">
              <w:rPr>
                <w:sz w:val="22"/>
                <w:szCs w:val="22"/>
              </w:rPr>
              <w:t>organization</w:t>
            </w:r>
            <w:r w:rsidR="00DD7F5B" w:rsidRPr="002855E4">
              <w:rPr>
                <w:sz w:val="22"/>
                <w:szCs w:val="22"/>
              </w:rPr>
              <w:t>s</w:t>
            </w:r>
            <w:r w:rsidR="00E71FCE" w:rsidRPr="002855E4">
              <w:rPr>
                <w:sz w:val="22"/>
                <w:szCs w:val="22"/>
              </w:rPr>
              <w:t>, taking into account the time-cost relationship</w:t>
            </w:r>
            <w:r w:rsidR="00DD7F5B" w:rsidRPr="002855E4">
              <w:rPr>
                <w:sz w:val="22"/>
                <w:szCs w:val="22"/>
              </w:rPr>
              <w:t>s</w:t>
            </w:r>
            <w:r w:rsidR="00E71FCE" w:rsidRPr="002855E4">
              <w:rPr>
                <w:sz w:val="22"/>
                <w:szCs w:val="22"/>
              </w:rPr>
              <w:t xml:space="preserve">, resources, processes, risks, the project life cycle, </w:t>
            </w:r>
            <w:r w:rsidR="00025A45" w:rsidRPr="002855E4">
              <w:rPr>
                <w:sz w:val="22"/>
                <w:szCs w:val="22"/>
              </w:rPr>
              <w:t xml:space="preserve">organization, </w:t>
            </w:r>
            <w:r w:rsidR="00E71FCE" w:rsidRPr="002855E4">
              <w:rPr>
                <w:sz w:val="22"/>
                <w:szCs w:val="22"/>
              </w:rPr>
              <w:t>and management principles</w:t>
            </w:r>
            <w:r w:rsidRPr="002855E4">
              <w:rPr>
                <w:sz w:val="22"/>
                <w:szCs w:val="22"/>
              </w:rPr>
              <w:t>;</w:t>
            </w:r>
          </w:p>
          <w:p w14:paraId="45B5D61C" w14:textId="77777777" w:rsidR="00AA0090" w:rsidRPr="002855E4" w:rsidRDefault="00AA0090" w:rsidP="00EC15AC">
            <w:pPr>
              <w:numPr>
                <w:ilvl w:val="0"/>
                <w:numId w:val="15"/>
              </w:numPr>
              <w:tabs>
                <w:tab w:val="left" w:pos="537"/>
              </w:tabs>
              <w:ind w:left="522" w:hanging="522"/>
              <w:jc w:val="both"/>
              <w:rPr>
                <w:sz w:val="22"/>
                <w:szCs w:val="22"/>
                <w:lang w:eastAsia="zh-TW"/>
              </w:rPr>
            </w:pPr>
            <w:r w:rsidRPr="002855E4">
              <w:rPr>
                <w:sz w:val="22"/>
                <w:szCs w:val="22"/>
              </w:rPr>
              <w:t xml:space="preserve">project </w:t>
            </w:r>
            <w:r w:rsidR="00E71FCE" w:rsidRPr="002855E4">
              <w:rPr>
                <w:sz w:val="22"/>
                <w:szCs w:val="22"/>
              </w:rPr>
              <w:t xml:space="preserve">management </w:t>
            </w:r>
            <w:r w:rsidR="009A596D" w:rsidRPr="002855E4">
              <w:rPr>
                <w:sz w:val="22"/>
                <w:szCs w:val="22"/>
              </w:rPr>
              <w:t xml:space="preserve">methodologies </w:t>
            </w:r>
            <w:r w:rsidR="00E71FCE" w:rsidRPr="002855E4">
              <w:rPr>
                <w:sz w:val="22"/>
                <w:szCs w:val="22"/>
              </w:rPr>
              <w:t xml:space="preserve">and </w:t>
            </w:r>
            <w:r w:rsidR="009A596D" w:rsidRPr="002855E4">
              <w:rPr>
                <w:sz w:val="22"/>
                <w:szCs w:val="22"/>
              </w:rPr>
              <w:t xml:space="preserve">their </w:t>
            </w:r>
            <w:r w:rsidR="00E71FCE" w:rsidRPr="002855E4">
              <w:rPr>
                <w:sz w:val="22"/>
                <w:szCs w:val="22"/>
              </w:rPr>
              <w:t>application</w:t>
            </w:r>
            <w:r w:rsidRPr="002855E4">
              <w:rPr>
                <w:sz w:val="22"/>
                <w:szCs w:val="22"/>
              </w:rPr>
              <w:t>;</w:t>
            </w:r>
          </w:p>
          <w:p w14:paraId="6BE3C0B8" w14:textId="77777777" w:rsidR="00AA0090" w:rsidRPr="002855E4" w:rsidRDefault="009A596D" w:rsidP="00EC15AC">
            <w:pPr>
              <w:numPr>
                <w:ilvl w:val="0"/>
                <w:numId w:val="15"/>
              </w:numPr>
              <w:tabs>
                <w:tab w:val="left" w:pos="537"/>
              </w:tabs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choosing</w:t>
            </w:r>
            <w:r w:rsidR="00AA0090" w:rsidRPr="002855E4">
              <w:rPr>
                <w:sz w:val="22"/>
                <w:szCs w:val="22"/>
              </w:rPr>
              <w:t xml:space="preserve"> project variables </w:t>
            </w:r>
            <w:r w:rsidR="00EF6B30" w:rsidRPr="002855E4">
              <w:rPr>
                <w:sz w:val="22"/>
                <w:szCs w:val="22"/>
              </w:rPr>
              <w:t xml:space="preserve">for effective </w:t>
            </w:r>
            <w:r w:rsidR="00650A48" w:rsidRPr="002855E4">
              <w:rPr>
                <w:sz w:val="22"/>
                <w:szCs w:val="22"/>
              </w:rPr>
              <w:t>project</w:t>
            </w:r>
            <w:r w:rsidR="00EF6B30" w:rsidRPr="002855E4">
              <w:rPr>
                <w:sz w:val="22"/>
                <w:szCs w:val="22"/>
              </w:rPr>
              <w:t xml:space="preserve"> management</w:t>
            </w:r>
            <w:r w:rsidR="00AA0090" w:rsidRPr="002855E4">
              <w:rPr>
                <w:sz w:val="22"/>
                <w:szCs w:val="22"/>
              </w:rPr>
              <w:t>;</w:t>
            </w:r>
            <w:r w:rsidR="00C6704A" w:rsidRPr="002855E4">
              <w:rPr>
                <w:sz w:val="22"/>
                <w:szCs w:val="22"/>
              </w:rPr>
              <w:t xml:space="preserve"> and</w:t>
            </w:r>
          </w:p>
          <w:p w14:paraId="1B6536CD" w14:textId="77777777" w:rsidR="00AA0090" w:rsidRPr="002855E4" w:rsidRDefault="00EF6B30" w:rsidP="009A596D">
            <w:pPr>
              <w:numPr>
                <w:ilvl w:val="0"/>
                <w:numId w:val="15"/>
              </w:numPr>
              <w:tabs>
                <w:tab w:val="left" w:pos="537"/>
              </w:tabs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 xml:space="preserve">various developments of </w:t>
            </w:r>
            <w:r w:rsidR="00AA0090" w:rsidRPr="002855E4">
              <w:rPr>
                <w:sz w:val="22"/>
                <w:szCs w:val="22"/>
              </w:rPr>
              <w:t xml:space="preserve">project </w:t>
            </w:r>
            <w:r w:rsidRPr="002855E4">
              <w:rPr>
                <w:sz w:val="22"/>
                <w:szCs w:val="22"/>
              </w:rPr>
              <w:t>management</w:t>
            </w:r>
            <w:r w:rsidR="00AA0090" w:rsidRPr="002855E4">
              <w:rPr>
                <w:sz w:val="22"/>
                <w:szCs w:val="22"/>
              </w:rPr>
              <w:t>.</w:t>
            </w:r>
          </w:p>
        </w:tc>
      </w:tr>
      <w:tr w:rsidR="00AA0090" w:rsidRPr="002855E4" w14:paraId="68DAF0CE" w14:textId="77777777">
        <w:trPr>
          <w:trHeight w:val="431"/>
        </w:trPr>
        <w:tc>
          <w:tcPr>
            <w:tcW w:w="2340" w:type="dxa"/>
          </w:tcPr>
          <w:p w14:paraId="72FA6C41" w14:textId="77777777" w:rsidR="00AA0090" w:rsidRPr="002855E4" w:rsidRDefault="00AA0090" w:rsidP="00EC15AC">
            <w:pPr>
              <w:spacing w:before="120" w:after="120"/>
              <w:rPr>
                <w:b/>
                <w:sz w:val="22"/>
                <w:szCs w:val="22"/>
              </w:rPr>
            </w:pPr>
            <w:r w:rsidRPr="002855E4">
              <w:rPr>
                <w:b/>
                <w:sz w:val="22"/>
                <w:szCs w:val="22"/>
              </w:rPr>
              <w:t>Intended Learning Outcomes</w:t>
            </w:r>
          </w:p>
          <w:p w14:paraId="0C17F22D" w14:textId="77777777" w:rsidR="00AA0090" w:rsidRPr="002855E4" w:rsidRDefault="00AA0090" w:rsidP="00EC15AC">
            <w:pPr>
              <w:spacing w:before="120" w:after="120"/>
              <w:rPr>
                <w:i/>
                <w:sz w:val="22"/>
                <w:szCs w:val="22"/>
              </w:rPr>
            </w:pPr>
          </w:p>
        </w:tc>
        <w:tc>
          <w:tcPr>
            <w:tcW w:w="7860" w:type="dxa"/>
            <w:gridSpan w:val="2"/>
            <w:vAlign w:val="center"/>
          </w:tcPr>
          <w:p w14:paraId="0DB265DE" w14:textId="77777777" w:rsidR="00AA0090" w:rsidRPr="002855E4" w:rsidRDefault="00AA0090" w:rsidP="00EC15AC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Upon completion of the subject, students will be able</w:t>
            </w:r>
            <w:r w:rsidR="008A1CC5" w:rsidRPr="002855E4">
              <w:rPr>
                <w:sz w:val="22"/>
                <w:szCs w:val="22"/>
              </w:rPr>
              <w:t xml:space="preserve"> to</w:t>
            </w:r>
            <w:r w:rsidR="00C6704A" w:rsidRPr="002855E4">
              <w:rPr>
                <w:sz w:val="22"/>
                <w:szCs w:val="22"/>
              </w:rPr>
              <w:t>:</w:t>
            </w:r>
          </w:p>
          <w:p w14:paraId="0FFAADFF" w14:textId="77777777" w:rsidR="00AA0090" w:rsidRPr="002855E4" w:rsidRDefault="00A65C4A" w:rsidP="00EC15AC">
            <w:pPr>
              <w:numPr>
                <w:ilvl w:val="0"/>
                <w:numId w:val="16"/>
              </w:numPr>
              <w:tabs>
                <w:tab w:val="left" w:pos="-720"/>
                <w:tab w:val="left" w:pos="522"/>
              </w:tabs>
              <w:suppressAutoHyphens/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rFonts w:hint="eastAsia"/>
                <w:sz w:val="22"/>
                <w:szCs w:val="22"/>
                <w:lang w:eastAsia="zh-HK"/>
              </w:rPr>
              <w:t>demonstrate good understanding of definition of a project</w:t>
            </w:r>
            <w:r w:rsidR="00DA1EED" w:rsidRPr="002855E4">
              <w:rPr>
                <w:rFonts w:hint="eastAsia"/>
                <w:sz w:val="22"/>
                <w:szCs w:val="22"/>
                <w:lang w:eastAsia="zh-HK"/>
              </w:rPr>
              <w:t xml:space="preserve">, the </w:t>
            </w:r>
            <w:r w:rsidR="00DA1EED" w:rsidRPr="002855E4">
              <w:rPr>
                <w:sz w:val="22"/>
                <w:szCs w:val="22"/>
                <w:lang w:eastAsia="zh-HK"/>
              </w:rPr>
              <w:t>characteristics</w:t>
            </w:r>
            <w:r w:rsidR="00DA1EED" w:rsidRPr="002855E4">
              <w:rPr>
                <w:rFonts w:hint="eastAsia"/>
                <w:sz w:val="22"/>
                <w:szCs w:val="22"/>
                <w:lang w:eastAsia="zh-HK"/>
              </w:rPr>
              <w:t xml:space="preserve"> and project life cycle;</w:t>
            </w:r>
          </w:p>
          <w:p w14:paraId="1EF1D9E5" w14:textId="77777777" w:rsidR="00AA0090" w:rsidRPr="002855E4" w:rsidRDefault="00CE2AB0" w:rsidP="00EC15AC">
            <w:pPr>
              <w:numPr>
                <w:ilvl w:val="0"/>
                <w:numId w:val="16"/>
              </w:numPr>
              <w:tabs>
                <w:tab w:val="left" w:pos="522"/>
              </w:tabs>
              <w:suppressAutoHyphens/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rFonts w:hint="eastAsia"/>
                <w:sz w:val="22"/>
                <w:szCs w:val="22"/>
                <w:lang w:eastAsia="zh-HK"/>
              </w:rPr>
              <w:t xml:space="preserve">identify </w:t>
            </w:r>
            <w:r w:rsidR="00AA0090" w:rsidRPr="002855E4">
              <w:rPr>
                <w:sz w:val="22"/>
                <w:szCs w:val="22"/>
              </w:rPr>
              <w:t xml:space="preserve">appropriate project variables and practices that </w:t>
            </w:r>
            <w:r w:rsidR="00650A48" w:rsidRPr="002855E4">
              <w:rPr>
                <w:sz w:val="22"/>
                <w:szCs w:val="22"/>
              </w:rPr>
              <w:t>are</w:t>
            </w:r>
            <w:r w:rsidR="00AA0090" w:rsidRPr="002855E4">
              <w:rPr>
                <w:sz w:val="22"/>
                <w:szCs w:val="22"/>
              </w:rPr>
              <w:t xml:space="preserve"> applicable to engineering projects;</w:t>
            </w:r>
          </w:p>
          <w:p w14:paraId="3F40D9E4" w14:textId="77777777" w:rsidR="00104EDD" w:rsidRPr="002855E4" w:rsidRDefault="00104EDD" w:rsidP="00104EDD">
            <w:pPr>
              <w:numPr>
                <w:ilvl w:val="0"/>
                <w:numId w:val="16"/>
              </w:numPr>
              <w:tabs>
                <w:tab w:val="left" w:pos="522"/>
              </w:tabs>
              <w:suppressAutoHyphens/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rFonts w:hint="eastAsia"/>
                <w:sz w:val="22"/>
                <w:szCs w:val="22"/>
                <w:lang w:eastAsia="zh-HK"/>
              </w:rPr>
              <w:t xml:space="preserve">perform project planning, cost/resources estimation, evaluate and monitor of </w:t>
            </w:r>
            <w:r w:rsidRPr="002855E4">
              <w:rPr>
                <w:sz w:val="22"/>
                <w:szCs w:val="22"/>
              </w:rPr>
              <w:t>project progress</w:t>
            </w:r>
            <w:r w:rsidR="00E91DF9" w:rsidRPr="002855E4">
              <w:rPr>
                <w:sz w:val="22"/>
                <w:szCs w:val="22"/>
              </w:rPr>
              <w:t>; and</w:t>
            </w:r>
          </w:p>
          <w:p w14:paraId="35F3E668" w14:textId="77777777" w:rsidR="00606437" w:rsidRPr="002855E4" w:rsidRDefault="004B56F0" w:rsidP="00E91DF9">
            <w:pPr>
              <w:numPr>
                <w:ilvl w:val="0"/>
                <w:numId w:val="16"/>
              </w:numPr>
              <w:tabs>
                <w:tab w:val="left" w:pos="522"/>
              </w:tabs>
              <w:suppressAutoHyphens/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propose</w:t>
            </w:r>
            <w:r w:rsidR="00AA0090" w:rsidRPr="002855E4">
              <w:rPr>
                <w:sz w:val="22"/>
                <w:szCs w:val="22"/>
              </w:rPr>
              <w:t xml:space="preserve"> </w:t>
            </w:r>
            <w:r w:rsidRPr="002855E4">
              <w:rPr>
                <w:sz w:val="22"/>
                <w:szCs w:val="22"/>
              </w:rPr>
              <w:t xml:space="preserve">project </w:t>
            </w:r>
            <w:r w:rsidR="00AA0090" w:rsidRPr="002855E4">
              <w:rPr>
                <w:sz w:val="22"/>
                <w:szCs w:val="22"/>
              </w:rPr>
              <w:t xml:space="preserve">management solutions, taking into consideration </w:t>
            </w:r>
            <w:r w:rsidRPr="002855E4">
              <w:rPr>
                <w:sz w:val="22"/>
                <w:szCs w:val="22"/>
              </w:rPr>
              <w:t>the project objectives</w:t>
            </w:r>
            <w:r w:rsidR="00AA0090" w:rsidRPr="002855E4">
              <w:rPr>
                <w:sz w:val="22"/>
                <w:szCs w:val="22"/>
              </w:rPr>
              <w:t xml:space="preserve"> and constraints</w:t>
            </w:r>
            <w:r w:rsidR="00E91DF9" w:rsidRPr="002855E4">
              <w:rPr>
                <w:sz w:val="22"/>
                <w:szCs w:val="22"/>
              </w:rPr>
              <w:t>.</w:t>
            </w:r>
          </w:p>
        </w:tc>
      </w:tr>
      <w:tr w:rsidR="001E36D8" w:rsidRPr="002855E4" w14:paraId="55964FB3" w14:textId="77777777">
        <w:trPr>
          <w:trHeight w:val="431"/>
        </w:trPr>
        <w:tc>
          <w:tcPr>
            <w:tcW w:w="2340" w:type="dxa"/>
          </w:tcPr>
          <w:p w14:paraId="3255048D" w14:textId="77777777" w:rsidR="001E36D8" w:rsidRPr="002855E4" w:rsidRDefault="001E36D8" w:rsidP="001E36D8">
            <w:pPr>
              <w:spacing w:before="120" w:after="120"/>
              <w:rPr>
                <w:b/>
                <w:sz w:val="22"/>
                <w:szCs w:val="22"/>
              </w:rPr>
            </w:pPr>
            <w:r w:rsidRPr="002855E4">
              <w:rPr>
                <w:b/>
                <w:sz w:val="22"/>
                <w:szCs w:val="22"/>
              </w:rPr>
              <w:t>Subject Synopsis/ Indicative Syllabus</w:t>
            </w:r>
          </w:p>
          <w:p w14:paraId="029C566A" w14:textId="77777777" w:rsidR="001E36D8" w:rsidRPr="002855E4" w:rsidRDefault="001E36D8" w:rsidP="00EC15A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60" w:type="dxa"/>
            <w:gridSpan w:val="2"/>
            <w:vAlign w:val="center"/>
          </w:tcPr>
          <w:p w14:paraId="42ABD508" w14:textId="77777777" w:rsidR="001E36D8" w:rsidRPr="002855E4" w:rsidRDefault="001E36D8" w:rsidP="002704D5">
            <w:pPr>
              <w:numPr>
                <w:ilvl w:val="0"/>
                <w:numId w:val="10"/>
              </w:numPr>
              <w:tabs>
                <w:tab w:val="clear" w:pos="720"/>
                <w:tab w:val="left" w:pos="-720"/>
                <w:tab w:val="left" w:pos="537"/>
              </w:tabs>
              <w:suppressAutoHyphens/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  <w:u w:val="single"/>
              </w:rPr>
              <w:t>Project Overview, Management Principles, and the Systems Approach</w:t>
            </w:r>
          </w:p>
          <w:p w14:paraId="55187A69" w14:textId="77777777" w:rsidR="001E36D8" w:rsidRPr="002855E4" w:rsidRDefault="001E36D8" w:rsidP="002704D5">
            <w:pPr>
              <w:pStyle w:val="BodyText"/>
              <w:tabs>
                <w:tab w:val="left" w:pos="-1440"/>
                <w:tab w:val="left" w:pos="-720"/>
                <w:tab w:val="left" w:pos="522"/>
                <w:tab w:val="left" w:pos="5580"/>
              </w:tabs>
              <w:suppressAutoHyphens/>
              <w:spacing w:after="0"/>
              <w:ind w:left="522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 xml:space="preserve">Characteristics of projects and project management. Management principles. Project </w:t>
            </w:r>
            <w:r w:rsidR="00C645FE" w:rsidRPr="002855E4">
              <w:rPr>
                <w:sz w:val="22"/>
                <w:szCs w:val="22"/>
              </w:rPr>
              <w:t>organization</w:t>
            </w:r>
            <w:r w:rsidRPr="002855E4">
              <w:rPr>
                <w:sz w:val="22"/>
                <w:szCs w:val="22"/>
              </w:rPr>
              <w:t>. Team development. Systems concepts and principles. Conflict management.</w:t>
            </w:r>
          </w:p>
          <w:p w14:paraId="271CEB35" w14:textId="77777777" w:rsidR="002704D5" w:rsidRPr="002855E4" w:rsidRDefault="002704D5" w:rsidP="002704D5">
            <w:pPr>
              <w:pStyle w:val="BodyText"/>
              <w:tabs>
                <w:tab w:val="left" w:pos="-1440"/>
                <w:tab w:val="left" w:pos="-720"/>
                <w:tab w:val="left" w:pos="522"/>
                <w:tab w:val="left" w:pos="5580"/>
              </w:tabs>
              <w:suppressAutoHyphens/>
              <w:spacing w:after="0"/>
              <w:ind w:left="522"/>
              <w:jc w:val="both"/>
              <w:rPr>
                <w:sz w:val="22"/>
                <w:szCs w:val="22"/>
              </w:rPr>
            </w:pPr>
          </w:p>
          <w:p w14:paraId="1B781AA9" w14:textId="77777777" w:rsidR="001E36D8" w:rsidRPr="002855E4" w:rsidRDefault="00A65C4A" w:rsidP="002704D5">
            <w:pPr>
              <w:numPr>
                <w:ilvl w:val="0"/>
                <w:numId w:val="10"/>
              </w:numPr>
              <w:tabs>
                <w:tab w:val="clear" w:pos="720"/>
                <w:tab w:val="left" w:pos="-720"/>
                <w:tab w:val="left" w:pos="537"/>
              </w:tabs>
              <w:suppressAutoHyphens/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  <w:u w:val="single"/>
              </w:rPr>
              <w:t>Project Methodologies</w:t>
            </w:r>
            <w:r w:rsidRPr="002855E4">
              <w:rPr>
                <w:rFonts w:hint="eastAsia"/>
                <w:sz w:val="22"/>
                <w:szCs w:val="22"/>
                <w:u w:val="single"/>
                <w:lang w:eastAsia="zh-HK"/>
              </w:rPr>
              <w:t xml:space="preserve"> </w:t>
            </w:r>
            <w:r w:rsidR="001E36D8" w:rsidRPr="002855E4">
              <w:rPr>
                <w:sz w:val="22"/>
                <w:szCs w:val="22"/>
                <w:u w:val="single"/>
              </w:rPr>
              <w:t>and Planning Techniques</w:t>
            </w:r>
          </w:p>
          <w:p w14:paraId="69A38708" w14:textId="77777777" w:rsidR="001E36D8" w:rsidRPr="002855E4" w:rsidRDefault="001E36D8" w:rsidP="002704D5">
            <w:pPr>
              <w:pStyle w:val="BodyText"/>
              <w:tabs>
                <w:tab w:val="left" w:pos="-1440"/>
                <w:tab w:val="left" w:pos="-720"/>
                <w:tab w:val="left" w:pos="537"/>
                <w:tab w:val="left" w:pos="5580"/>
              </w:tabs>
              <w:suppressAutoHyphens/>
              <w:spacing w:after="0"/>
              <w:ind w:left="522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Constraints: time, cost, and technical performance. Work breakdown structure. Management of scope. Scheduling tools: Gantt charts, network analysis techniques, time-phased networks, CPA, PERT, and resource smoothing.</w:t>
            </w:r>
          </w:p>
          <w:p w14:paraId="41801C3E" w14:textId="77777777" w:rsidR="002704D5" w:rsidRPr="002855E4" w:rsidRDefault="002704D5" w:rsidP="002704D5">
            <w:pPr>
              <w:pStyle w:val="BodyText"/>
              <w:tabs>
                <w:tab w:val="left" w:pos="-1440"/>
                <w:tab w:val="left" w:pos="-720"/>
                <w:tab w:val="left" w:pos="537"/>
                <w:tab w:val="left" w:pos="5580"/>
              </w:tabs>
              <w:suppressAutoHyphens/>
              <w:spacing w:after="0"/>
              <w:ind w:left="522"/>
              <w:jc w:val="both"/>
              <w:rPr>
                <w:sz w:val="22"/>
                <w:szCs w:val="22"/>
              </w:rPr>
            </w:pPr>
          </w:p>
          <w:p w14:paraId="6AC8444C" w14:textId="77777777" w:rsidR="001E36D8" w:rsidRPr="002855E4" w:rsidRDefault="00A65C4A" w:rsidP="002704D5">
            <w:pPr>
              <w:numPr>
                <w:ilvl w:val="0"/>
                <w:numId w:val="10"/>
              </w:numPr>
              <w:tabs>
                <w:tab w:val="clear" w:pos="720"/>
                <w:tab w:val="left" w:pos="-720"/>
                <w:tab w:val="left" w:pos="537"/>
              </w:tabs>
              <w:suppressAutoHyphens/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rFonts w:hint="eastAsia"/>
                <w:sz w:val="22"/>
                <w:szCs w:val="22"/>
                <w:u w:val="single"/>
                <w:lang w:eastAsia="zh-HK"/>
              </w:rPr>
              <w:t xml:space="preserve">Cost </w:t>
            </w:r>
            <w:r w:rsidRPr="002855E4">
              <w:rPr>
                <w:sz w:val="22"/>
                <w:szCs w:val="22"/>
                <w:u w:val="single"/>
              </w:rPr>
              <w:t>Estimation</w:t>
            </w:r>
            <w:r w:rsidRPr="002855E4">
              <w:rPr>
                <w:rFonts w:hint="eastAsia"/>
                <w:sz w:val="22"/>
                <w:szCs w:val="22"/>
                <w:u w:val="single"/>
                <w:lang w:eastAsia="zh-HK"/>
              </w:rPr>
              <w:t xml:space="preserve"> </w:t>
            </w:r>
            <w:r w:rsidR="001E36D8" w:rsidRPr="002855E4">
              <w:rPr>
                <w:sz w:val="22"/>
                <w:szCs w:val="22"/>
                <w:u w:val="single"/>
              </w:rPr>
              <w:t>and Cost Control for Projects</w:t>
            </w:r>
          </w:p>
          <w:p w14:paraId="1FF10648" w14:textId="77777777" w:rsidR="001E36D8" w:rsidRPr="002855E4" w:rsidRDefault="001E36D8" w:rsidP="002704D5">
            <w:pPr>
              <w:pStyle w:val="BodyText"/>
              <w:tabs>
                <w:tab w:val="left" w:pos="-1440"/>
                <w:tab w:val="left" w:pos="-720"/>
                <w:tab w:val="left" w:pos="537"/>
                <w:tab w:val="left" w:pos="5580"/>
              </w:tabs>
              <w:suppressAutoHyphens/>
              <w:spacing w:after="0"/>
              <w:ind w:left="522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Types of estimates. Budgeting project costs. Experience curve. Cost schedules and forecasts. Cost control systems.</w:t>
            </w:r>
          </w:p>
          <w:p w14:paraId="7C8AB691" w14:textId="77777777" w:rsidR="002704D5" w:rsidRPr="002855E4" w:rsidRDefault="002704D5" w:rsidP="002704D5">
            <w:pPr>
              <w:pStyle w:val="BodyText"/>
              <w:tabs>
                <w:tab w:val="left" w:pos="-1440"/>
                <w:tab w:val="left" w:pos="-720"/>
                <w:tab w:val="left" w:pos="537"/>
                <w:tab w:val="left" w:pos="5580"/>
              </w:tabs>
              <w:suppressAutoHyphens/>
              <w:spacing w:after="0"/>
              <w:ind w:left="522"/>
              <w:jc w:val="both"/>
              <w:rPr>
                <w:sz w:val="22"/>
                <w:szCs w:val="22"/>
              </w:rPr>
            </w:pPr>
          </w:p>
          <w:p w14:paraId="708AE4A4" w14:textId="77777777" w:rsidR="001E36D8" w:rsidRPr="002855E4" w:rsidRDefault="00A65C4A" w:rsidP="002704D5">
            <w:pPr>
              <w:numPr>
                <w:ilvl w:val="0"/>
                <w:numId w:val="10"/>
              </w:numPr>
              <w:tabs>
                <w:tab w:val="clear" w:pos="720"/>
                <w:tab w:val="left" w:pos="-720"/>
                <w:tab w:val="left" w:pos="537"/>
              </w:tabs>
              <w:suppressAutoHyphens/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rFonts w:hint="eastAsia"/>
                <w:sz w:val="22"/>
                <w:szCs w:val="22"/>
                <w:u w:val="single"/>
                <w:lang w:eastAsia="zh-HK"/>
              </w:rPr>
              <w:t>Evaluation</w:t>
            </w:r>
            <w:r w:rsidR="001E36D8" w:rsidRPr="002855E4">
              <w:rPr>
                <w:sz w:val="22"/>
                <w:szCs w:val="22"/>
                <w:u w:val="single"/>
              </w:rPr>
              <w:t xml:space="preserve"> and Control of Projects</w:t>
            </w:r>
          </w:p>
          <w:p w14:paraId="1B724D1C" w14:textId="77777777" w:rsidR="001E36D8" w:rsidRPr="002855E4" w:rsidRDefault="001E36D8" w:rsidP="002704D5">
            <w:pPr>
              <w:tabs>
                <w:tab w:val="left" w:pos="522"/>
              </w:tabs>
              <w:ind w:left="522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 xml:space="preserve">Earned value measurement system. Managing project risks. Status reporting. Project closeout and termination. </w:t>
            </w:r>
          </w:p>
          <w:p w14:paraId="0B04E372" w14:textId="77777777" w:rsidR="00606437" w:rsidRPr="002855E4" w:rsidRDefault="00606437" w:rsidP="002704D5">
            <w:pPr>
              <w:tabs>
                <w:tab w:val="left" w:pos="522"/>
              </w:tabs>
              <w:ind w:left="522"/>
              <w:jc w:val="both"/>
              <w:rPr>
                <w:sz w:val="22"/>
                <w:szCs w:val="22"/>
              </w:rPr>
            </w:pPr>
          </w:p>
        </w:tc>
      </w:tr>
      <w:tr w:rsidR="00AA0090" w:rsidRPr="002855E4" w14:paraId="38C4CDB3" w14:textId="77777777">
        <w:trPr>
          <w:trHeight w:val="2411"/>
        </w:trPr>
        <w:tc>
          <w:tcPr>
            <w:tcW w:w="2340" w:type="dxa"/>
          </w:tcPr>
          <w:p w14:paraId="027C6437" w14:textId="77777777" w:rsidR="00AA0090" w:rsidRPr="002855E4" w:rsidRDefault="00AA0090" w:rsidP="00EC15AC">
            <w:pPr>
              <w:spacing w:before="120" w:after="120"/>
              <w:rPr>
                <w:b/>
                <w:sz w:val="22"/>
                <w:szCs w:val="22"/>
              </w:rPr>
            </w:pPr>
            <w:r w:rsidRPr="002855E4">
              <w:rPr>
                <w:b/>
                <w:sz w:val="22"/>
                <w:szCs w:val="22"/>
              </w:rPr>
              <w:lastRenderedPageBreak/>
              <w:t xml:space="preserve">Teaching/Learning Methodology </w:t>
            </w:r>
          </w:p>
          <w:p w14:paraId="791D51D1" w14:textId="77777777" w:rsidR="00AA0090" w:rsidRPr="002855E4" w:rsidRDefault="00AA0090" w:rsidP="00EC15AC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860" w:type="dxa"/>
            <w:gridSpan w:val="2"/>
            <w:tcBorders>
              <w:bottom w:val="single" w:sz="4" w:space="0" w:color="auto"/>
            </w:tcBorders>
            <w:vAlign w:val="center"/>
          </w:tcPr>
          <w:p w14:paraId="74D8B5D6" w14:textId="77777777" w:rsidR="00AA0090" w:rsidRPr="002855E4" w:rsidRDefault="00AA0090" w:rsidP="00650A48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 xml:space="preserve">A mixture of lectures, tutorial exercises, case studies, and laboratory work </w:t>
            </w:r>
            <w:r w:rsidR="00650A48" w:rsidRPr="002855E4">
              <w:rPr>
                <w:sz w:val="22"/>
                <w:szCs w:val="22"/>
              </w:rPr>
              <w:t>are</w:t>
            </w:r>
            <w:r w:rsidRPr="002855E4">
              <w:rPr>
                <w:sz w:val="22"/>
                <w:szCs w:val="22"/>
              </w:rPr>
              <w:t xml:space="preserve"> used to deliver the various topics in this subject. Some material is covered using a problem-based format where this advances the learning objectives. Other material is covered through directed study to enhance the students’ “learning to learn” ability. Some case studies are </w:t>
            </w:r>
            <w:r w:rsidR="00650A48" w:rsidRPr="002855E4">
              <w:rPr>
                <w:sz w:val="22"/>
                <w:szCs w:val="22"/>
              </w:rPr>
              <w:t>from</w:t>
            </w:r>
            <w:r w:rsidRPr="002855E4">
              <w:rPr>
                <w:sz w:val="22"/>
                <w:szCs w:val="22"/>
              </w:rPr>
              <w:t xml:space="preserve"> best practices of projects, based on a literature review. They are used to integrate the topics and demonstrate to students how the various techniques are interrelated and applied in real-life situations. </w:t>
            </w:r>
          </w:p>
        </w:tc>
      </w:tr>
      <w:tr w:rsidR="00AA0090" w:rsidRPr="002855E4" w14:paraId="01A7C7D8" w14:textId="77777777" w:rsidTr="00EC15AC">
        <w:trPr>
          <w:trHeight w:val="341"/>
        </w:trPr>
        <w:tc>
          <w:tcPr>
            <w:tcW w:w="2340" w:type="dxa"/>
          </w:tcPr>
          <w:p w14:paraId="711428B6" w14:textId="77777777" w:rsidR="00AA0090" w:rsidRPr="002855E4" w:rsidRDefault="00AA0090" w:rsidP="00EC15AC">
            <w:pPr>
              <w:spacing w:before="120" w:after="120"/>
              <w:rPr>
                <w:b/>
                <w:sz w:val="22"/>
                <w:szCs w:val="22"/>
              </w:rPr>
            </w:pPr>
            <w:r w:rsidRPr="002855E4">
              <w:rPr>
                <w:b/>
                <w:sz w:val="22"/>
                <w:szCs w:val="22"/>
              </w:rPr>
              <w:t>Assessment Methods in Alignment with Intended Learning Outcomes</w:t>
            </w:r>
          </w:p>
          <w:p w14:paraId="2D6AC268" w14:textId="77777777" w:rsidR="00AA0090" w:rsidRPr="002855E4" w:rsidRDefault="00AA0090" w:rsidP="00EC15A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60" w:type="dxa"/>
            <w:gridSpan w:val="2"/>
          </w:tcPr>
          <w:p w14:paraId="73B0E605" w14:textId="77777777" w:rsidR="00AA0090" w:rsidRPr="002855E4" w:rsidRDefault="00AA0090" w:rsidP="00EC15AC">
            <w:pPr>
              <w:spacing w:before="120" w:after="120"/>
              <w:rPr>
                <w:sz w:val="22"/>
                <w:szCs w:val="22"/>
              </w:rPr>
            </w:pPr>
          </w:p>
          <w:tbl>
            <w:tblPr>
              <w:tblW w:w="7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7"/>
              <w:gridCol w:w="1176"/>
              <w:gridCol w:w="826"/>
              <w:gridCol w:w="827"/>
              <w:gridCol w:w="827"/>
              <w:gridCol w:w="827"/>
            </w:tblGrid>
            <w:tr w:rsidR="00AA0090" w:rsidRPr="002855E4" w14:paraId="0033161B" w14:textId="77777777">
              <w:tc>
                <w:tcPr>
                  <w:tcW w:w="2677" w:type="dxa"/>
                  <w:vMerge w:val="restart"/>
                </w:tcPr>
                <w:p w14:paraId="647550A4" w14:textId="77777777" w:rsidR="00AA0090" w:rsidRPr="002855E4" w:rsidRDefault="00AA0090" w:rsidP="00EC15AC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t xml:space="preserve">Specific assessment methods/tasks </w:t>
                  </w:r>
                </w:p>
              </w:tc>
              <w:tc>
                <w:tcPr>
                  <w:tcW w:w="1176" w:type="dxa"/>
                  <w:vMerge w:val="restart"/>
                </w:tcPr>
                <w:p w14:paraId="03A3831E" w14:textId="77777777" w:rsidR="00AA0090" w:rsidRPr="002855E4" w:rsidRDefault="00AA0090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t>%</w:t>
                  </w:r>
                </w:p>
                <w:p w14:paraId="32E9B9B7" w14:textId="77777777" w:rsidR="00AA0090" w:rsidRPr="002855E4" w:rsidRDefault="00AA0090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t>weighting</w:t>
                  </w:r>
                </w:p>
              </w:tc>
              <w:tc>
                <w:tcPr>
                  <w:tcW w:w="3307" w:type="dxa"/>
                  <w:gridSpan w:val="4"/>
                </w:tcPr>
                <w:p w14:paraId="4B867493" w14:textId="77777777" w:rsidR="00AA0090" w:rsidRPr="002855E4" w:rsidRDefault="00AA0090" w:rsidP="00EC15AC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t xml:space="preserve">Intended subject learning outcomes to be assessed </w:t>
                  </w:r>
                </w:p>
              </w:tc>
            </w:tr>
            <w:tr w:rsidR="00AA0090" w:rsidRPr="002855E4" w14:paraId="1B26400A" w14:textId="77777777">
              <w:tc>
                <w:tcPr>
                  <w:tcW w:w="2677" w:type="dxa"/>
                  <w:vMerge/>
                </w:tcPr>
                <w:p w14:paraId="42E3B019" w14:textId="77777777" w:rsidR="00AA0090" w:rsidRPr="002855E4" w:rsidRDefault="00AA0090" w:rsidP="00EC15AC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6" w:type="dxa"/>
                  <w:vMerge/>
                </w:tcPr>
                <w:p w14:paraId="33E781F5" w14:textId="77777777" w:rsidR="00AA0090" w:rsidRPr="002855E4" w:rsidRDefault="00AA0090" w:rsidP="00EC15AC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6" w:type="dxa"/>
                  <w:shd w:val="clear" w:color="auto" w:fill="auto"/>
                </w:tcPr>
                <w:p w14:paraId="537151D2" w14:textId="77777777" w:rsidR="00AA0090" w:rsidRPr="002855E4" w:rsidRDefault="00AA0090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14:paraId="3D5CB982" w14:textId="77777777" w:rsidR="00AA0090" w:rsidRPr="002855E4" w:rsidRDefault="00AA0090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14:paraId="2945905C" w14:textId="77777777" w:rsidR="00AA0090" w:rsidRPr="002855E4" w:rsidRDefault="00AA0090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14:paraId="6CBFF4FB" w14:textId="77777777" w:rsidR="00AA0090" w:rsidRPr="002855E4" w:rsidRDefault="00AA0090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t>d</w:t>
                  </w:r>
                </w:p>
              </w:tc>
            </w:tr>
            <w:tr w:rsidR="00AA0090" w:rsidRPr="002855E4" w14:paraId="1BD090A8" w14:textId="77777777">
              <w:tc>
                <w:tcPr>
                  <w:tcW w:w="2677" w:type="dxa"/>
                </w:tcPr>
                <w:p w14:paraId="2573870B" w14:textId="77777777" w:rsidR="00104EDD" w:rsidRPr="002855E4" w:rsidRDefault="00AA0090" w:rsidP="00104EDD">
                  <w:pPr>
                    <w:tabs>
                      <w:tab w:val="left" w:pos="274"/>
                    </w:tabs>
                    <w:spacing w:before="120" w:after="120"/>
                    <w:ind w:left="251" w:hangingChars="114" w:hanging="251"/>
                    <w:rPr>
                      <w:sz w:val="22"/>
                      <w:szCs w:val="22"/>
                      <w:lang w:eastAsia="zh-HK"/>
                    </w:rPr>
                  </w:pPr>
                  <w:r w:rsidRPr="002855E4">
                    <w:rPr>
                      <w:sz w:val="22"/>
                      <w:szCs w:val="22"/>
                    </w:rPr>
                    <w:t xml:space="preserve">1. </w:t>
                  </w:r>
                  <w:r w:rsidR="00104EDD" w:rsidRPr="002855E4">
                    <w:rPr>
                      <w:rFonts w:hint="eastAsia"/>
                      <w:sz w:val="22"/>
                      <w:szCs w:val="22"/>
                      <w:lang w:eastAsia="zh-HK"/>
                    </w:rPr>
                    <w:t>Tutorial exercises/</w:t>
                  </w:r>
                </w:p>
                <w:p w14:paraId="5C106871" w14:textId="77777777" w:rsidR="00AA0090" w:rsidRPr="002855E4" w:rsidRDefault="00104EDD" w:rsidP="00104EDD">
                  <w:pPr>
                    <w:tabs>
                      <w:tab w:val="left" w:pos="274"/>
                    </w:tabs>
                    <w:spacing w:before="120" w:after="120"/>
                    <w:ind w:left="251" w:hangingChars="114" w:hanging="251"/>
                    <w:rPr>
                      <w:sz w:val="22"/>
                      <w:szCs w:val="22"/>
                      <w:lang w:eastAsia="zh-HK"/>
                    </w:rPr>
                  </w:pPr>
                  <w:r w:rsidRPr="002855E4">
                    <w:rPr>
                      <w:sz w:val="22"/>
                      <w:szCs w:val="22"/>
                    </w:rPr>
                    <w:t>written report</w:t>
                  </w:r>
                </w:p>
              </w:tc>
              <w:tc>
                <w:tcPr>
                  <w:tcW w:w="1176" w:type="dxa"/>
                </w:tcPr>
                <w:p w14:paraId="7C83A0C5" w14:textId="77777777" w:rsidR="00AA0090" w:rsidRPr="002855E4" w:rsidRDefault="000F435F" w:rsidP="00D334D8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rFonts w:hint="eastAsia"/>
                      <w:sz w:val="22"/>
                      <w:szCs w:val="22"/>
                      <w:lang w:eastAsia="zh-HK"/>
                    </w:rPr>
                    <w:t>10</w:t>
                  </w:r>
                  <w:r w:rsidR="00AA0090" w:rsidRPr="002855E4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60BBB115" w14:textId="77777777" w:rsidR="00AA0090" w:rsidRPr="002855E4" w:rsidRDefault="00704062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1B8554DD" w14:textId="77777777" w:rsidR="00AA0090" w:rsidRPr="002855E4" w:rsidRDefault="00AA0090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65155AC7" w14:textId="77777777" w:rsidR="00AA0090" w:rsidRPr="002855E4" w:rsidRDefault="00104EDD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  <w:lang w:eastAsia="zh-HK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7F4882D8" w14:textId="77777777" w:rsidR="00AA0090" w:rsidRPr="002855E4" w:rsidRDefault="00704062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  <w:lang w:eastAsia="zh-HK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</w:tr>
            <w:tr w:rsidR="000F435F" w:rsidRPr="002855E4" w14:paraId="039C80E6" w14:textId="77777777">
              <w:tc>
                <w:tcPr>
                  <w:tcW w:w="2677" w:type="dxa"/>
                </w:tcPr>
                <w:p w14:paraId="2B4A3DFF" w14:textId="77777777" w:rsidR="000F435F" w:rsidRPr="002855E4" w:rsidRDefault="000F435F" w:rsidP="002704D5">
                  <w:pPr>
                    <w:tabs>
                      <w:tab w:val="left" w:pos="274"/>
                    </w:tabs>
                    <w:spacing w:before="120" w:after="120"/>
                    <w:ind w:left="251" w:hangingChars="114" w:hanging="251"/>
                    <w:rPr>
                      <w:sz w:val="22"/>
                      <w:szCs w:val="22"/>
                      <w:lang w:eastAsia="zh-HK"/>
                    </w:rPr>
                  </w:pPr>
                  <w:r w:rsidRPr="002855E4">
                    <w:rPr>
                      <w:sz w:val="22"/>
                      <w:szCs w:val="22"/>
                      <w:lang w:eastAsia="zh-HK"/>
                    </w:rPr>
                    <w:t>2. Oral presentation</w:t>
                  </w:r>
                </w:p>
              </w:tc>
              <w:tc>
                <w:tcPr>
                  <w:tcW w:w="1176" w:type="dxa"/>
                </w:tcPr>
                <w:p w14:paraId="5A39259E" w14:textId="77777777" w:rsidR="000F435F" w:rsidRPr="002855E4" w:rsidRDefault="000F435F" w:rsidP="00D334D8">
                  <w:pPr>
                    <w:spacing w:before="120" w:after="120"/>
                    <w:jc w:val="center"/>
                    <w:rPr>
                      <w:sz w:val="22"/>
                      <w:szCs w:val="22"/>
                      <w:lang w:eastAsia="zh-HK"/>
                    </w:rPr>
                  </w:pPr>
                  <w:r w:rsidRPr="002855E4">
                    <w:rPr>
                      <w:sz w:val="22"/>
                      <w:szCs w:val="22"/>
                      <w:lang w:eastAsia="zh-HK"/>
                    </w:rPr>
                    <w:t>10%</w:t>
                  </w: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5D651143" w14:textId="77777777" w:rsidR="000F435F" w:rsidRPr="002855E4" w:rsidRDefault="00704062" w:rsidP="00436A88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095422A4" w14:textId="77777777" w:rsidR="000F435F" w:rsidRPr="002855E4" w:rsidRDefault="000F435F" w:rsidP="00436A88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7BC1A53F" w14:textId="77777777" w:rsidR="000F435F" w:rsidRPr="002855E4" w:rsidRDefault="000F435F" w:rsidP="00436A88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4EED6084" w14:textId="77777777" w:rsidR="000F435F" w:rsidRPr="002855E4" w:rsidRDefault="00704062" w:rsidP="00436A88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</w:tr>
            <w:tr w:rsidR="00CE2AB0" w:rsidRPr="002855E4" w14:paraId="55985CFB" w14:textId="77777777">
              <w:tc>
                <w:tcPr>
                  <w:tcW w:w="2677" w:type="dxa"/>
                </w:tcPr>
                <w:p w14:paraId="26099BF9" w14:textId="77777777" w:rsidR="00CE2AB0" w:rsidRPr="002855E4" w:rsidRDefault="00D8774F" w:rsidP="000F435F">
                  <w:pPr>
                    <w:tabs>
                      <w:tab w:val="left" w:pos="274"/>
                    </w:tabs>
                    <w:spacing w:before="120" w:after="120"/>
                    <w:ind w:left="251" w:hangingChars="114" w:hanging="251"/>
                    <w:rPr>
                      <w:sz w:val="22"/>
                      <w:szCs w:val="22"/>
                      <w:lang w:eastAsia="zh-HK"/>
                    </w:rPr>
                  </w:pPr>
                  <w:r w:rsidRPr="002855E4">
                    <w:rPr>
                      <w:rFonts w:hint="eastAsia"/>
                      <w:sz w:val="22"/>
                      <w:szCs w:val="22"/>
                      <w:lang w:eastAsia="zh-HK"/>
                    </w:rPr>
                    <w:t>3</w:t>
                  </w:r>
                  <w:r w:rsidR="00CE2AB0" w:rsidRPr="002855E4">
                    <w:rPr>
                      <w:rFonts w:hint="eastAsia"/>
                      <w:sz w:val="22"/>
                      <w:szCs w:val="22"/>
                      <w:lang w:eastAsia="zh-HK"/>
                    </w:rPr>
                    <w:t xml:space="preserve">. </w:t>
                  </w:r>
                  <w:r w:rsidR="000F435F" w:rsidRPr="002855E4">
                    <w:rPr>
                      <w:sz w:val="22"/>
                      <w:szCs w:val="22"/>
                      <w:lang w:eastAsia="zh-HK"/>
                    </w:rPr>
                    <w:t>End</w:t>
                  </w:r>
                  <w:r w:rsidR="00CE2AB0" w:rsidRPr="002855E4">
                    <w:rPr>
                      <w:rFonts w:hint="eastAsia"/>
                      <w:sz w:val="22"/>
                      <w:szCs w:val="22"/>
                      <w:lang w:eastAsia="zh-HK"/>
                    </w:rPr>
                    <w:t xml:space="preserve"> Term Test</w:t>
                  </w:r>
                </w:p>
              </w:tc>
              <w:tc>
                <w:tcPr>
                  <w:tcW w:w="1176" w:type="dxa"/>
                </w:tcPr>
                <w:p w14:paraId="59B15D92" w14:textId="77777777" w:rsidR="00CE2AB0" w:rsidRPr="002855E4" w:rsidRDefault="00D259C6" w:rsidP="00F63152">
                  <w:pPr>
                    <w:spacing w:before="120" w:after="120"/>
                    <w:jc w:val="center"/>
                    <w:rPr>
                      <w:sz w:val="22"/>
                      <w:szCs w:val="22"/>
                      <w:lang w:eastAsia="zh-HK"/>
                    </w:rPr>
                  </w:pPr>
                  <w:r w:rsidRPr="002855E4">
                    <w:rPr>
                      <w:rFonts w:hint="eastAsia"/>
                      <w:sz w:val="22"/>
                      <w:szCs w:val="22"/>
                      <w:lang w:eastAsia="zh-HK"/>
                    </w:rPr>
                    <w:t>20</w:t>
                  </w:r>
                  <w:r w:rsidR="00CE2AB0" w:rsidRPr="002855E4">
                    <w:rPr>
                      <w:rFonts w:hint="eastAsia"/>
                      <w:sz w:val="22"/>
                      <w:szCs w:val="22"/>
                      <w:lang w:eastAsia="zh-HK"/>
                    </w:rPr>
                    <w:t>%</w:t>
                  </w: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045F9A23" w14:textId="77777777" w:rsidR="00CE2AB0" w:rsidRPr="002855E4" w:rsidRDefault="00CE2AB0" w:rsidP="00436A88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62A8DA00" w14:textId="77777777" w:rsidR="00CE2AB0" w:rsidRPr="002855E4" w:rsidRDefault="00CE2AB0" w:rsidP="00436A88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02C00F11" w14:textId="77777777" w:rsidR="00CE2AB0" w:rsidRPr="002855E4" w:rsidRDefault="00CE2AB0" w:rsidP="00436A88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1D0EA338" w14:textId="77777777" w:rsidR="00CE2AB0" w:rsidRPr="002855E4" w:rsidRDefault="00704062" w:rsidP="00436A88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</w:tr>
            <w:tr w:rsidR="00CE2AB0" w:rsidRPr="002855E4" w14:paraId="5D7CF668" w14:textId="77777777">
              <w:tc>
                <w:tcPr>
                  <w:tcW w:w="2677" w:type="dxa"/>
                </w:tcPr>
                <w:p w14:paraId="5133FE85" w14:textId="77777777" w:rsidR="00CE2AB0" w:rsidRPr="002855E4" w:rsidRDefault="00D8774F" w:rsidP="00EC15AC">
                  <w:pPr>
                    <w:spacing w:before="120" w:after="120"/>
                    <w:ind w:left="769" w:hanging="769"/>
                    <w:rPr>
                      <w:sz w:val="22"/>
                      <w:szCs w:val="22"/>
                    </w:rPr>
                  </w:pPr>
                  <w:r w:rsidRPr="002855E4">
                    <w:rPr>
                      <w:rFonts w:hint="eastAsia"/>
                      <w:sz w:val="22"/>
                      <w:szCs w:val="22"/>
                      <w:lang w:eastAsia="zh-HK"/>
                    </w:rPr>
                    <w:t>4</w:t>
                  </w:r>
                  <w:r w:rsidR="00CE2AB0" w:rsidRPr="002855E4">
                    <w:rPr>
                      <w:sz w:val="22"/>
                      <w:szCs w:val="22"/>
                    </w:rPr>
                    <w:t>. Written examination</w:t>
                  </w:r>
                </w:p>
              </w:tc>
              <w:tc>
                <w:tcPr>
                  <w:tcW w:w="1176" w:type="dxa"/>
                </w:tcPr>
                <w:p w14:paraId="52B81F63" w14:textId="77777777" w:rsidR="00CE2AB0" w:rsidRPr="002855E4" w:rsidRDefault="00D259C6" w:rsidP="00F63152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t>60</w:t>
                  </w:r>
                  <w:r w:rsidR="00CE2AB0" w:rsidRPr="002855E4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7C990874" w14:textId="77777777" w:rsidR="00CE2AB0" w:rsidRPr="002855E4" w:rsidRDefault="00CE2AB0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15E65523" w14:textId="77777777" w:rsidR="00CE2AB0" w:rsidRPr="002855E4" w:rsidRDefault="00CE2AB0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405CD118" w14:textId="77777777" w:rsidR="00CE2AB0" w:rsidRPr="002855E4" w:rsidRDefault="00CE2AB0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43CE5418" w14:textId="77777777" w:rsidR="00CE2AB0" w:rsidRPr="002855E4" w:rsidRDefault="00CE2AB0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CE2AB0" w:rsidRPr="002855E4" w14:paraId="2EAB73B5" w14:textId="77777777">
              <w:trPr>
                <w:trHeight w:val="530"/>
              </w:trPr>
              <w:tc>
                <w:tcPr>
                  <w:tcW w:w="2677" w:type="dxa"/>
                </w:tcPr>
                <w:p w14:paraId="1E05DDE2" w14:textId="77777777" w:rsidR="00CE2AB0" w:rsidRPr="002855E4" w:rsidRDefault="00CE2AB0" w:rsidP="00EC15AC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1176" w:type="dxa"/>
                </w:tcPr>
                <w:p w14:paraId="621DE25E" w14:textId="77777777" w:rsidR="00CE2AB0" w:rsidRPr="002855E4" w:rsidRDefault="00CE2AB0" w:rsidP="00EC15AC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2855E4">
                    <w:rPr>
                      <w:sz w:val="22"/>
                      <w:szCs w:val="22"/>
                    </w:rPr>
                    <w:t>100%</w:t>
                  </w:r>
                </w:p>
              </w:tc>
              <w:tc>
                <w:tcPr>
                  <w:tcW w:w="3307" w:type="dxa"/>
                  <w:gridSpan w:val="4"/>
                </w:tcPr>
                <w:p w14:paraId="2F8223FD" w14:textId="77777777" w:rsidR="00CE2AB0" w:rsidRPr="002855E4" w:rsidRDefault="00CE2AB0" w:rsidP="00EC15AC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282B595" w14:textId="77777777" w:rsidR="004C3D98" w:rsidRPr="002855E4" w:rsidRDefault="004C3D98" w:rsidP="004C3D98">
            <w:pPr>
              <w:spacing w:before="120" w:after="120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Explanation of the appropriateness of the assessment methods in assessing the intended learning outcomes:</w:t>
            </w:r>
          </w:p>
          <w:p w14:paraId="6B7CCBE6" w14:textId="77777777" w:rsidR="00AA0090" w:rsidRPr="002855E4" w:rsidRDefault="00AA0090" w:rsidP="00EC15AC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Continuous assessment</w:t>
            </w:r>
            <w:r w:rsidR="00104EDD" w:rsidRPr="002855E4">
              <w:rPr>
                <w:rFonts w:hint="eastAsia"/>
                <w:sz w:val="22"/>
                <w:szCs w:val="22"/>
                <w:lang w:eastAsia="zh-HK"/>
              </w:rPr>
              <w:t xml:space="preserve"> (1)</w:t>
            </w:r>
            <w:r w:rsidR="00D8774F" w:rsidRPr="002855E4">
              <w:rPr>
                <w:sz w:val="22"/>
                <w:szCs w:val="22"/>
                <w:lang w:eastAsia="zh-HK"/>
              </w:rPr>
              <w:t>,</w:t>
            </w:r>
            <w:r w:rsidR="00104EDD" w:rsidRPr="002855E4">
              <w:rPr>
                <w:rFonts w:hint="eastAsia"/>
                <w:sz w:val="22"/>
                <w:szCs w:val="22"/>
                <w:lang w:eastAsia="zh-HK"/>
              </w:rPr>
              <w:t xml:space="preserve"> (2)</w:t>
            </w:r>
            <w:r w:rsidR="00D8774F" w:rsidRPr="002855E4">
              <w:rPr>
                <w:sz w:val="22"/>
                <w:szCs w:val="22"/>
                <w:lang w:eastAsia="zh-HK"/>
              </w:rPr>
              <w:t>, and (3)</w:t>
            </w:r>
            <w:r w:rsidRPr="002855E4">
              <w:rPr>
                <w:sz w:val="22"/>
                <w:szCs w:val="22"/>
              </w:rPr>
              <w:t xml:space="preserve">: </w:t>
            </w:r>
            <w:r w:rsidR="00104EDD" w:rsidRPr="002855E4">
              <w:rPr>
                <w:rFonts w:hint="eastAsia"/>
                <w:sz w:val="22"/>
                <w:szCs w:val="22"/>
                <w:lang w:eastAsia="zh-HK"/>
              </w:rPr>
              <w:t>Test</w:t>
            </w:r>
            <w:r w:rsidRPr="002855E4">
              <w:rPr>
                <w:sz w:val="22"/>
                <w:szCs w:val="22"/>
              </w:rPr>
              <w:t>, written reports</w:t>
            </w:r>
            <w:r w:rsidR="00D8774F" w:rsidRPr="002855E4">
              <w:rPr>
                <w:sz w:val="22"/>
                <w:szCs w:val="22"/>
              </w:rPr>
              <w:t>, oral presentation,</w:t>
            </w:r>
            <w:r w:rsidR="00104EDD" w:rsidRPr="002855E4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Pr="002855E4">
              <w:rPr>
                <w:sz w:val="22"/>
                <w:szCs w:val="22"/>
              </w:rPr>
              <w:t>and tutorial exercises are used to assess students’ understanding and application of the knowledge that they have learnt relative to learning outcomes (a), (b)</w:t>
            </w:r>
            <w:r w:rsidR="00704062" w:rsidRPr="002855E4">
              <w:rPr>
                <w:sz w:val="22"/>
                <w:szCs w:val="22"/>
              </w:rPr>
              <w:t xml:space="preserve">, </w:t>
            </w:r>
            <w:r w:rsidRPr="002855E4">
              <w:rPr>
                <w:sz w:val="22"/>
                <w:szCs w:val="22"/>
              </w:rPr>
              <w:t>(c)</w:t>
            </w:r>
            <w:r w:rsidR="00704062" w:rsidRPr="002855E4">
              <w:rPr>
                <w:sz w:val="22"/>
                <w:szCs w:val="22"/>
              </w:rPr>
              <w:t xml:space="preserve"> and (d)</w:t>
            </w:r>
            <w:r w:rsidRPr="002855E4">
              <w:rPr>
                <w:sz w:val="22"/>
                <w:szCs w:val="22"/>
              </w:rPr>
              <w:t>.</w:t>
            </w:r>
          </w:p>
          <w:p w14:paraId="2DA72E4B" w14:textId="77777777" w:rsidR="00AA0090" w:rsidRPr="002855E4" w:rsidRDefault="00AA0090" w:rsidP="0070406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Written examination: questions are designed to as</w:t>
            </w:r>
            <w:r w:rsidR="00704062" w:rsidRPr="002855E4">
              <w:rPr>
                <w:sz w:val="22"/>
                <w:szCs w:val="22"/>
              </w:rPr>
              <w:t>sess learning outcomes (b)</w:t>
            </w:r>
            <w:r w:rsidRPr="002855E4">
              <w:rPr>
                <w:sz w:val="22"/>
                <w:szCs w:val="22"/>
              </w:rPr>
              <w:t xml:space="preserve"> </w:t>
            </w:r>
            <w:r w:rsidR="00704062" w:rsidRPr="002855E4">
              <w:rPr>
                <w:sz w:val="22"/>
                <w:szCs w:val="22"/>
              </w:rPr>
              <w:t>and (c).</w:t>
            </w:r>
            <w:r w:rsidRPr="002855E4">
              <w:rPr>
                <w:sz w:val="22"/>
                <w:szCs w:val="22"/>
              </w:rPr>
              <w:t xml:space="preserve"> </w:t>
            </w:r>
          </w:p>
        </w:tc>
      </w:tr>
      <w:tr w:rsidR="00FC6ED6" w:rsidRPr="002855E4" w14:paraId="6D54EFF0" w14:textId="77777777">
        <w:trPr>
          <w:trHeight w:val="412"/>
        </w:trPr>
        <w:tc>
          <w:tcPr>
            <w:tcW w:w="2340" w:type="dxa"/>
            <w:vMerge w:val="restart"/>
          </w:tcPr>
          <w:p w14:paraId="1CAA5FB8" w14:textId="77777777" w:rsidR="00FC6ED6" w:rsidRPr="002855E4" w:rsidRDefault="00FC6ED6" w:rsidP="00EC15AC">
            <w:pPr>
              <w:spacing w:after="120"/>
              <w:rPr>
                <w:b/>
                <w:sz w:val="22"/>
                <w:szCs w:val="22"/>
              </w:rPr>
            </w:pPr>
            <w:r w:rsidRPr="002855E4">
              <w:rPr>
                <w:b/>
                <w:sz w:val="22"/>
                <w:szCs w:val="22"/>
              </w:rPr>
              <w:t xml:space="preserve">Student Study Effort Expected </w:t>
            </w:r>
            <w:r w:rsidRPr="002855E4">
              <w:rPr>
                <w:b/>
                <w:sz w:val="22"/>
                <w:szCs w:val="22"/>
              </w:rPr>
              <w:br/>
            </w:r>
          </w:p>
        </w:tc>
        <w:tc>
          <w:tcPr>
            <w:tcW w:w="5580" w:type="dxa"/>
            <w:vAlign w:val="center"/>
          </w:tcPr>
          <w:p w14:paraId="4F26DCCD" w14:textId="77777777" w:rsidR="00FC6ED6" w:rsidRPr="002855E4" w:rsidRDefault="00FC6ED6" w:rsidP="00FF426D">
            <w:pPr>
              <w:spacing w:after="120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Class contact:</w:t>
            </w:r>
          </w:p>
        </w:tc>
        <w:tc>
          <w:tcPr>
            <w:tcW w:w="2280" w:type="dxa"/>
            <w:vAlign w:val="center"/>
          </w:tcPr>
          <w:p w14:paraId="20F18A57" w14:textId="77777777" w:rsidR="00FC6ED6" w:rsidRPr="002855E4" w:rsidRDefault="00FC6ED6" w:rsidP="00FF426D">
            <w:pPr>
              <w:spacing w:after="120"/>
              <w:ind w:right="132"/>
              <w:jc w:val="right"/>
              <w:rPr>
                <w:sz w:val="22"/>
                <w:szCs w:val="22"/>
              </w:rPr>
            </w:pPr>
          </w:p>
        </w:tc>
      </w:tr>
      <w:tr w:rsidR="00FC6ED6" w:rsidRPr="002855E4" w14:paraId="2F2675A1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6E85BD33" w14:textId="77777777" w:rsidR="00FC6ED6" w:rsidRPr="002855E4" w:rsidRDefault="00FC6ED6" w:rsidP="00EC15AC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1BB846D7" w14:textId="77777777" w:rsidR="00FC6ED6" w:rsidRPr="002855E4" w:rsidRDefault="00FC6ED6" w:rsidP="0098704B">
            <w:pPr>
              <w:numPr>
                <w:ilvl w:val="0"/>
                <w:numId w:val="11"/>
              </w:numPr>
              <w:tabs>
                <w:tab w:val="left" w:pos="522"/>
              </w:tabs>
              <w:spacing w:after="120"/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 xml:space="preserve">Lectures                       </w:t>
            </w:r>
            <w:r w:rsidR="00DA1EED" w:rsidRPr="002855E4">
              <w:rPr>
                <w:rFonts w:hint="eastAsia"/>
                <w:sz w:val="22"/>
                <w:szCs w:val="22"/>
                <w:lang w:eastAsia="zh-HK"/>
              </w:rPr>
              <w:t>3</w:t>
            </w:r>
            <w:r w:rsidR="00DA1EED" w:rsidRPr="002855E4">
              <w:rPr>
                <w:sz w:val="22"/>
                <w:szCs w:val="22"/>
              </w:rPr>
              <w:t xml:space="preserve"> hour</w:t>
            </w:r>
            <w:r w:rsidR="00DA1EED" w:rsidRPr="002855E4">
              <w:rPr>
                <w:rFonts w:hint="eastAsia"/>
                <w:sz w:val="22"/>
                <w:szCs w:val="22"/>
                <w:lang w:eastAsia="zh-HK"/>
              </w:rPr>
              <w:t>s</w:t>
            </w:r>
            <w:r w:rsidR="00DA1EED" w:rsidRPr="002855E4">
              <w:rPr>
                <w:sz w:val="22"/>
                <w:szCs w:val="22"/>
              </w:rPr>
              <w:t xml:space="preserve">/week for </w:t>
            </w:r>
            <w:r w:rsidR="0098704B" w:rsidRPr="002855E4">
              <w:rPr>
                <w:rFonts w:hint="eastAsia"/>
                <w:sz w:val="22"/>
                <w:szCs w:val="22"/>
                <w:lang w:eastAsia="zh-HK"/>
              </w:rPr>
              <w:t>9</w:t>
            </w:r>
            <w:r w:rsidR="00DA1EED" w:rsidRPr="002855E4">
              <w:rPr>
                <w:sz w:val="22"/>
                <w:szCs w:val="22"/>
              </w:rPr>
              <w:t xml:space="preserve"> weeks</w:t>
            </w:r>
          </w:p>
        </w:tc>
        <w:tc>
          <w:tcPr>
            <w:tcW w:w="2280" w:type="dxa"/>
            <w:vAlign w:val="center"/>
          </w:tcPr>
          <w:p w14:paraId="07825C95" w14:textId="77777777" w:rsidR="00FC6ED6" w:rsidRPr="002855E4" w:rsidRDefault="0098704B" w:rsidP="00FF426D">
            <w:pPr>
              <w:spacing w:after="120"/>
              <w:ind w:right="132"/>
              <w:jc w:val="right"/>
              <w:rPr>
                <w:sz w:val="22"/>
                <w:szCs w:val="22"/>
              </w:rPr>
            </w:pPr>
            <w:r w:rsidRPr="002855E4">
              <w:rPr>
                <w:rFonts w:hint="eastAsia"/>
                <w:sz w:val="22"/>
                <w:szCs w:val="22"/>
                <w:lang w:eastAsia="zh-HK"/>
              </w:rPr>
              <w:t xml:space="preserve">27 </w:t>
            </w:r>
            <w:r w:rsidR="00FC6ED6" w:rsidRPr="002855E4">
              <w:rPr>
                <w:sz w:val="22"/>
                <w:szCs w:val="22"/>
              </w:rPr>
              <w:t>Hrs.</w:t>
            </w:r>
          </w:p>
        </w:tc>
      </w:tr>
      <w:tr w:rsidR="00FC6ED6" w:rsidRPr="002855E4" w14:paraId="1312C435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717B6F7C" w14:textId="77777777" w:rsidR="00FC6ED6" w:rsidRPr="002855E4" w:rsidRDefault="00FC6ED6" w:rsidP="00EC15AC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2770EB9F" w14:textId="77777777" w:rsidR="00FC6ED6" w:rsidRPr="002855E4" w:rsidRDefault="00FC6ED6" w:rsidP="0098704B">
            <w:pPr>
              <w:numPr>
                <w:ilvl w:val="0"/>
                <w:numId w:val="11"/>
              </w:numPr>
              <w:tabs>
                <w:tab w:val="left" w:pos="522"/>
              </w:tabs>
              <w:spacing w:after="120"/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 xml:space="preserve">Tutorials </w:t>
            </w:r>
            <w:r w:rsidR="00DA1EED" w:rsidRPr="002855E4">
              <w:rPr>
                <w:rFonts w:hint="eastAsia"/>
                <w:sz w:val="22"/>
                <w:szCs w:val="22"/>
                <w:lang w:eastAsia="zh-HK"/>
              </w:rPr>
              <w:t>/ Case studies</w:t>
            </w:r>
            <w:r w:rsidRPr="002855E4">
              <w:rPr>
                <w:sz w:val="22"/>
                <w:szCs w:val="22"/>
              </w:rPr>
              <w:t xml:space="preserve">     </w:t>
            </w:r>
            <w:r w:rsidR="00DA1EED" w:rsidRPr="002855E4">
              <w:rPr>
                <w:rFonts w:hint="eastAsia"/>
                <w:sz w:val="22"/>
                <w:szCs w:val="22"/>
                <w:lang w:eastAsia="zh-HK"/>
              </w:rPr>
              <w:t>3</w:t>
            </w:r>
            <w:r w:rsidRPr="002855E4">
              <w:rPr>
                <w:sz w:val="22"/>
                <w:szCs w:val="22"/>
              </w:rPr>
              <w:t xml:space="preserve"> hour</w:t>
            </w:r>
            <w:r w:rsidR="00DA1EED" w:rsidRPr="002855E4">
              <w:rPr>
                <w:rFonts w:hint="eastAsia"/>
                <w:sz w:val="22"/>
                <w:szCs w:val="22"/>
                <w:lang w:eastAsia="zh-HK"/>
              </w:rPr>
              <w:t>s</w:t>
            </w:r>
            <w:r w:rsidRPr="002855E4">
              <w:rPr>
                <w:sz w:val="22"/>
                <w:szCs w:val="22"/>
              </w:rPr>
              <w:t xml:space="preserve">/week for </w:t>
            </w:r>
            <w:r w:rsidR="0098704B" w:rsidRPr="002855E4">
              <w:rPr>
                <w:rFonts w:hint="eastAsia"/>
                <w:sz w:val="22"/>
                <w:szCs w:val="22"/>
                <w:lang w:eastAsia="zh-HK"/>
              </w:rPr>
              <w:t>4</w:t>
            </w:r>
            <w:r w:rsidRPr="002855E4">
              <w:rPr>
                <w:sz w:val="22"/>
                <w:szCs w:val="22"/>
              </w:rPr>
              <w:t xml:space="preserve"> weeks</w:t>
            </w:r>
          </w:p>
        </w:tc>
        <w:tc>
          <w:tcPr>
            <w:tcW w:w="2280" w:type="dxa"/>
            <w:vAlign w:val="center"/>
          </w:tcPr>
          <w:p w14:paraId="320C0B1A" w14:textId="77777777" w:rsidR="00FC6ED6" w:rsidRPr="002855E4" w:rsidRDefault="0098704B" w:rsidP="00FF426D">
            <w:pPr>
              <w:spacing w:after="120"/>
              <w:ind w:right="132"/>
              <w:jc w:val="right"/>
              <w:rPr>
                <w:sz w:val="22"/>
                <w:szCs w:val="22"/>
              </w:rPr>
            </w:pPr>
            <w:r w:rsidRPr="002855E4">
              <w:rPr>
                <w:rFonts w:hint="eastAsia"/>
                <w:sz w:val="22"/>
                <w:szCs w:val="22"/>
                <w:lang w:eastAsia="zh-HK"/>
              </w:rPr>
              <w:t>12</w:t>
            </w:r>
            <w:r w:rsidR="00FC6ED6" w:rsidRPr="002855E4">
              <w:rPr>
                <w:sz w:val="22"/>
                <w:szCs w:val="22"/>
              </w:rPr>
              <w:t xml:space="preserve"> Hrs.</w:t>
            </w:r>
          </w:p>
        </w:tc>
      </w:tr>
      <w:tr w:rsidR="00FC6ED6" w:rsidRPr="002855E4" w14:paraId="0E737D73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51FDDDF9" w14:textId="77777777" w:rsidR="00FC6ED6" w:rsidRPr="002855E4" w:rsidRDefault="00FC6ED6" w:rsidP="00EC15AC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1339868E" w14:textId="77777777" w:rsidR="00FC6ED6" w:rsidRPr="002855E4" w:rsidRDefault="00FC6ED6" w:rsidP="00DA1EED">
            <w:pPr>
              <w:tabs>
                <w:tab w:val="left" w:pos="522"/>
              </w:tabs>
              <w:spacing w:after="120"/>
              <w:ind w:left="522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14:paraId="20EBBB0C" w14:textId="77777777" w:rsidR="00FC6ED6" w:rsidRPr="002855E4" w:rsidRDefault="00DA1EED" w:rsidP="00FF426D">
            <w:pPr>
              <w:spacing w:after="120"/>
              <w:ind w:right="132"/>
              <w:jc w:val="right"/>
              <w:rPr>
                <w:sz w:val="22"/>
                <w:szCs w:val="22"/>
              </w:rPr>
            </w:pPr>
            <w:r w:rsidRPr="002855E4">
              <w:rPr>
                <w:rFonts w:hint="eastAsia"/>
                <w:sz w:val="22"/>
                <w:szCs w:val="22"/>
                <w:lang w:eastAsia="zh-HK"/>
              </w:rPr>
              <w:t>3</w:t>
            </w:r>
            <w:r w:rsidR="0098704B" w:rsidRPr="002855E4">
              <w:rPr>
                <w:rFonts w:hint="eastAsia"/>
                <w:sz w:val="22"/>
                <w:szCs w:val="22"/>
                <w:lang w:eastAsia="zh-HK"/>
              </w:rPr>
              <w:t>9</w:t>
            </w:r>
            <w:r w:rsidR="00FC6ED6" w:rsidRPr="002855E4">
              <w:rPr>
                <w:sz w:val="22"/>
                <w:szCs w:val="22"/>
              </w:rPr>
              <w:t xml:space="preserve"> Hrs.</w:t>
            </w:r>
          </w:p>
        </w:tc>
      </w:tr>
      <w:tr w:rsidR="00FC6ED6" w:rsidRPr="002855E4" w14:paraId="406DF25D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7FA06031" w14:textId="77777777" w:rsidR="00FC6ED6" w:rsidRPr="002855E4" w:rsidRDefault="00FC6ED6" w:rsidP="00EC15AC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46973994" w14:textId="77777777" w:rsidR="00FC6ED6" w:rsidRPr="002855E4" w:rsidRDefault="00FC6ED6" w:rsidP="00DA1EED">
            <w:pPr>
              <w:tabs>
                <w:tab w:val="left" w:pos="522"/>
              </w:tabs>
              <w:spacing w:after="120"/>
              <w:ind w:left="522"/>
              <w:rPr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14:paraId="3288AD52" w14:textId="77777777" w:rsidR="00FC6ED6" w:rsidRPr="002855E4" w:rsidRDefault="00FC6ED6" w:rsidP="00FF426D">
            <w:pPr>
              <w:spacing w:after="120"/>
              <w:ind w:right="132"/>
              <w:jc w:val="right"/>
              <w:rPr>
                <w:sz w:val="22"/>
                <w:szCs w:val="22"/>
              </w:rPr>
            </w:pPr>
          </w:p>
        </w:tc>
      </w:tr>
      <w:tr w:rsidR="00FC6ED6" w:rsidRPr="002855E4" w14:paraId="6B511396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54F7AFE0" w14:textId="77777777" w:rsidR="00FC6ED6" w:rsidRPr="002855E4" w:rsidRDefault="00FC6ED6" w:rsidP="00EC15AC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3D231943" w14:textId="77777777" w:rsidR="00FC6ED6" w:rsidRPr="002855E4" w:rsidRDefault="00FC6ED6" w:rsidP="00FF426D">
            <w:pPr>
              <w:spacing w:after="120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Other student study effort:</w:t>
            </w:r>
          </w:p>
        </w:tc>
        <w:tc>
          <w:tcPr>
            <w:tcW w:w="2280" w:type="dxa"/>
            <w:vAlign w:val="center"/>
          </w:tcPr>
          <w:p w14:paraId="068D06F8" w14:textId="77777777" w:rsidR="00FC6ED6" w:rsidRPr="002855E4" w:rsidRDefault="00FC6ED6" w:rsidP="00FF426D">
            <w:pPr>
              <w:spacing w:after="120"/>
              <w:ind w:right="132"/>
              <w:jc w:val="right"/>
              <w:rPr>
                <w:sz w:val="22"/>
                <w:szCs w:val="22"/>
              </w:rPr>
            </w:pPr>
          </w:p>
        </w:tc>
      </w:tr>
      <w:tr w:rsidR="00FC6ED6" w:rsidRPr="002855E4" w14:paraId="77E6ED44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206943E0" w14:textId="77777777" w:rsidR="00FC6ED6" w:rsidRPr="002855E4" w:rsidRDefault="00FC6ED6" w:rsidP="00EC15AC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015DAEE3" w14:textId="77777777" w:rsidR="00FC6ED6" w:rsidRPr="002855E4" w:rsidRDefault="00FC6ED6" w:rsidP="00FF426D">
            <w:pPr>
              <w:numPr>
                <w:ilvl w:val="0"/>
                <w:numId w:val="11"/>
              </w:numPr>
              <w:tabs>
                <w:tab w:val="left" w:pos="522"/>
              </w:tabs>
              <w:spacing w:after="120"/>
              <w:ind w:left="522" w:hanging="522"/>
              <w:jc w:val="both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Preparation for assignments, short tests, and the written examination</w:t>
            </w:r>
          </w:p>
        </w:tc>
        <w:tc>
          <w:tcPr>
            <w:tcW w:w="2280" w:type="dxa"/>
            <w:vAlign w:val="center"/>
          </w:tcPr>
          <w:p w14:paraId="020AEB06" w14:textId="77777777" w:rsidR="00FC6ED6" w:rsidRPr="002855E4" w:rsidRDefault="00FC6ED6" w:rsidP="00FF426D">
            <w:pPr>
              <w:spacing w:after="120"/>
              <w:ind w:right="132"/>
              <w:jc w:val="right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7</w:t>
            </w:r>
            <w:r w:rsidRPr="002855E4">
              <w:rPr>
                <w:rFonts w:hint="eastAsia"/>
                <w:sz w:val="22"/>
                <w:szCs w:val="22"/>
                <w:lang w:eastAsia="zh-HK"/>
              </w:rPr>
              <w:t>9</w:t>
            </w:r>
            <w:r w:rsidRPr="002855E4">
              <w:rPr>
                <w:sz w:val="22"/>
                <w:szCs w:val="22"/>
              </w:rPr>
              <w:t xml:space="preserve"> Hrs.</w:t>
            </w:r>
          </w:p>
        </w:tc>
      </w:tr>
      <w:tr w:rsidR="00FC6ED6" w:rsidRPr="002855E4" w14:paraId="4CAEA12A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712935DB" w14:textId="77777777" w:rsidR="00FC6ED6" w:rsidRPr="002855E4" w:rsidRDefault="00FC6ED6" w:rsidP="00EC15AC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550416A8" w14:textId="77777777" w:rsidR="00FC6ED6" w:rsidRPr="002855E4" w:rsidRDefault="00FC6ED6" w:rsidP="00FF426D">
            <w:pPr>
              <w:spacing w:after="120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 xml:space="preserve">Total student study effort </w:t>
            </w:r>
          </w:p>
        </w:tc>
        <w:tc>
          <w:tcPr>
            <w:tcW w:w="2280" w:type="dxa"/>
            <w:vAlign w:val="center"/>
          </w:tcPr>
          <w:p w14:paraId="18E60DDD" w14:textId="77777777" w:rsidR="00FC6ED6" w:rsidRPr="002855E4" w:rsidRDefault="00FC6ED6" w:rsidP="00104EDD">
            <w:pPr>
              <w:spacing w:after="120"/>
              <w:ind w:right="132"/>
              <w:jc w:val="right"/>
              <w:rPr>
                <w:sz w:val="22"/>
                <w:szCs w:val="22"/>
              </w:rPr>
            </w:pPr>
            <w:r w:rsidRPr="002855E4">
              <w:rPr>
                <w:sz w:val="22"/>
                <w:szCs w:val="22"/>
              </w:rPr>
              <w:t>11</w:t>
            </w:r>
            <w:r w:rsidR="0098704B" w:rsidRPr="002855E4">
              <w:rPr>
                <w:rFonts w:hint="eastAsia"/>
                <w:sz w:val="22"/>
                <w:szCs w:val="22"/>
                <w:lang w:eastAsia="zh-HK"/>
              </w:rPr>
              <w:t>8</w:t>
            </w:r>
            <w:r w:rsidRPr="002855E4">
              <w:rPr>
                <w:sz w:val="22"/>
                <w:szCs w:val="22"/>
              </w:rPr>
              <w:t xml:space="preserve"> Hrs.</w:t>
            </w:r>
          </w:p>
        </w:tc>
      </w:tr>
      <w:tr w:rsidR="00001DE8" w:rsidRPr="002855E4" w14:paraId="48E2B469" w14:textId="77777777" w:rsidTr="00C408DA">
        <w:trPr>
          <w:trHeight w:val="1853"/>
        </w:trPr>
        <w:tc>
          <w:tcPr>
            <w:tcW w:w="2340" w:type="dxa"/>
          </w:tcPr>
          <w:p w14:paraId="6269A5D7" w14:textId="77777777" w:rsidR="00001DE8" w:rsidRPr="002855E4" w:rsidRDefault="00001DE8" w:rsidP="00001DE8">
            <w:pPr>
              <w:spacing w:after="120"/>
              <w:rPr>
                <w:b/>
                <w:sz w:val="22"/>
                <w:szCs w:val="22"/>
              </w:rPr>
            </w:pPr>
            <w:r w:rsidRPr="002855E4">
              <w:rPr>
                <w:b/>
                <w:sz w:val="22"/>
                <w:szCs w:val="22"/>
              </w:rPr>
              <w:t>Reading List and References</w:t>
            </w: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44B" w14:textId="77777777" w:rsidR="00001DE8" w:rsidRPr="002855E4" w:rsidRDefault="00001DE8" w:rsidP="00001DE8">
            <w:pPr>
              <w:numPr>
                <w:ilvl w:val="0"/>
                <w:numId w:val="18"/>
              </w:numPr>
              <w:tabs>
                <w:tab w:val="left" w:pos="522"/>
              </w:tabs>
              <w:suppressAutoHyphens/>
              <w:spacing w:before="120" w:after="120"/>
              <w:ind w:left="522" w:hanging="540"/>
              <w:jc w:val="both"/>
              <w:rPr>
                <w:sz w:val="22"/>
                <w:szCs w:val="22"/>
                <w:lang w:eastAsia="zh-TW"/>
              </w:rPr>
            </w:pPr>
            <w:r w:rsidRPr="002855E4">
              <w:rPr>
                <w:color w:val="222222"/>
                <w:sz w:val="22"/>
                <w:szCs w:val="22"/>
                <w:shd w:val="clear" w:color="auto" w:fill="FFFFFF"/>
                <w:lang w:eastAsia="zh-TW"/>
              </w:rPr>
              <w:t>Meredith, J. R., Shafer, S. M., Mantel Jr, S. J., 2017, </w:t>
            </w:r>
            <w:r w:rsidRPr="002855E4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eastAsia="zh-TW"/>
              </w:rPr>
              <w:t xml:space="preserve">Project Management: </w:t>
            </w:r>
            <w:proofErr w:type="gramStart"/>
            <w:r w:rsidRPr="002855E4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eastAsia="zh-TW"/>
              </w:rPr>
              <w:t>a</w:t>
            </w:r>
            <w:proofErr w:type="gramEnd"/>
            <w:r w:rsidRPr="002855E4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eastAsia="zh-TW"/>
              </w:rPr>
              <w:t xml:space="preserve"> Strategic Managerial Approach</w:t>
            </w:r>
            <w:r w:rsidRPr="002855E4">
              <w:rPr>
                <w:color w:val="222222"/>
                <w:sz w:val="22"/>
                <w:szCs w:val="22"/>
                <w:shd w:val="clear" w:color="auto" w:fill="FFFFFF"/>
                <w:lang w:eastAsia="zh-TW"/>
              </w:rPr>
              <w:t>. John Wiley &amp; Sons.</w:t>
            </w:r>
            <w:r w:rsidRPr="002855E4">
              <w:rPr>
                <w:sz w:val="22"/>
                <w:szCs w:val="22"/>
                <w:lang w:eastAsia="zh-TW"/>
              </w:rPr>
              <w:t xml:space="preserve"> </w:t>
            </w:r>
          </w:p>
          <w:p w14:paraId="0ED8F60A" w14:textId="77777777" w:rsidR="00704062" w:rsidRPr="002855E4" w:rsidRDefault="00704062" w:rsidP="00001DE8">
            <w:pPr>
              <w:numPr>
                <w:ilvl w:val="0"/>
                <w:numId w:val="18"/>
              </w:numPr>
              <w:tabs>
                <w:tab w:val="left" w:pos="522"/>
              </w:tabs>
              <w:suppressAutoHyphens/>
              <w:spacing w:before="120" w:after="120"/>
              <w:ind w:left="522" w:hanging="540"/>
              <w:jc w:val="both"/>
              <w:rPr>
                <w:sz w:val="22"/>
                <w:szCs w:val="22"/>
                <w:lang w:eastAsia="zh-TW"/>
              </w:rPr>
            </w:pPr>
            <w:r w:rsidRPr="002855E4">
              <w:rPr>
                <w:color w:val="222222"/>
                <w:sz w:val="22"/>
                <w:szCs w:val="22"/>
                <w:shd w:val="clear" w:color="auto" w:fill="FFFFFF"/>
              </w:rPr>
              <w:t>Pinto, J. K., 2020. </w:t>
            </w:r>
            <w:r w:rsidRPr="002855E4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Project Management: Achieving Competitive Advantage</w:t>
            </w:r>
            <w:r w:rsidRPr="002855E4">
              <w:rPr>
                <w:color w:val="222222"/>
                <w:sz w:val="22"/>
                <w:szCs w:val="22"/>
                <w:shd w:val="clear" w:color="auto" w:fill="FFFFFF"/>
              </w:rPr>
              <w:t>. Pearson.</w:t>
            </w:r>
          </w:p>
          <w:p w14:paraId="3463983A" w14:textId="77777777" w:rsidR="00001DE8" w:rsidRPr="002855E4" w:rsidRDefault="00001DE8" w:rsidP="00001DE8">
            <w:pPr>
              <w:numPr>
                <w:ilvl w:val="0"/>
                <w:numId w:val="18"/>
              </w:numPr>
              <w:tabs>
                <w:tab w:val="left" w:pos="-720"/>
                <w:tab w:val="left" w:pos="0"/>
                <w:tab w:val="left" w:pos="522"/>
              </w:tabs>
              <w:suppressAutoHyphens/>
              <w:spacing w:before="120" w:after="120"/>
              <w:ind w:left="522" w:hanging="540"/>
              <w:jc w:val="both"/>
              <w:rPr>
                <w:sz w:val="22"/>
                <w:szCs w:val="22"/>
                <w:lang w:eastAsia="zh-TW"/>
              </w:rPr>
            </w:pPr>
            <w:r w:rsidRPr="002855E4">
              <w:rPr>
                <w:color w:val="222222"/>
                <w:sz w:val="22"/>
                <w:szCs w:val="22"/>
                <w:shd w:val="clear" w:color="auto" w:fill="FFFFFF"/>
                <w:lang w:eastAsia="zh-TW"/>
              </w:rPr>
              <w:t>Kerzner, H. 2017, </w:t>
            </w:r>
            <w:r w:rsidRPr="002855E4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eastAsia="zh-TW"/>
              </w:rPr>
              <w:t xml:space="preserve">Project Management: </w:t>
            </w:r>
            <w:proofErr w:type="gramStart"/>
            <w:r w:rsidRPr="002855E4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eastAsia="zh-TW"/>
              </w:rPr>
              <w:t>a</w:t>
            </w:r>
            <w:proofErr w:type="gramEnd"/>
            <w:r w:rsidRPr="002855E4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eastAsia="zh-TW"/>
              </w:rPr>
              <w:t xml:space="preserve"> Systems Approach to Planning, Scheduling, and Controlling,</w:t>
            </w:r>
            <w:r w:rsidRPr="002855E4">
              <w:rPr>
                <w:color w:val="222222"/>
                <w:sz w:val="22"/>
                <w:szCs w:val="22"/>
                <w:shd w:val="clear" w:color="auto" w:fill="FFFFFF"/>
                <w:lang w:eastAsia="zh-TW"/>
              </w:rPr>
              <w:t xml:space="preserve"> John Wiley &amp; Sons.</w:t>
            </w:r>
          </w:p>
          <w:p w14:paraId="6BD3C48E" w14:textId="77777777" w:rsidR="00001DE8" w:rsidRPr="002855E4" w:rsidRDefault="00001DE8" w:rsidP="00001DE8">
            <w:pPr>
              <w:numPr>
                <w:ilvl w:val="0"/>
                <w:numId w:val="18"/>
              </w:numPr>
              <w:tabs>
                <w:tab w:val="left" w:pos="-720"/>
                <w:tab w:val="left" w:pos="0"/>
                <w:tab w:val="left" w:pos="522"/>
              </w:tabs>
              <w:suppressAutoHyphens/>
              <w:spacing w:before="120" w:after="120"/>
              <w:ind w:left="522" w:hanging="540"/>
              <w:jc w:val="both"/>
              <w:rPr>
                <w:color w:val="222222"/>
                <w:sz w:val="22"/>
                <w:szCs w:val="22"/>
                <w:shd w:val="clear" w:color="auto" w:fill="FFFFFF"/>
                <w:lang w:eastAsia="zh-TW"/>
              </w:rPr>
            </w:pPr>
            <w:r w:rsidRPr="002855E4">
              <w:rPr>
                <w:color w:val="0F1111"/>
                <w:sz w:val="22"/>
                <w:szCs w:val="22"/>
                <w:shd w:val="clear" w:color="auto" w:fill="FFFFFF"/>
                <w:lang w:eastAsia="zh-TW"/>
              </w:rPr>
              <w:lastRenderedPageBreak/>
              <w:t>Project Management Institute</w:t>
            </w:r>
            <w:r w:rsidRPr="002855E4">
              <w:rPr>
                <w:color w:val="222222"/>
                <w:sz w:val="22"/>
                <w:szCs w:val="22"/>
                <w:shd w:val="clear" w:color="auto" w:fill="FFFFFF"/>
                <w:lang w:eastAsia="zh-TW"/>
              </w:rPr>
              <w:t xml:space="preserve">, 2013, </w:t>
            </w:r>
            <w:r w:rsidRPr="002855E4">
              <w:rPr>
                <w:i/>
                <w:color w:val="222222"/>
                <w:sz w:val="22"/>
                <w:szCs w:val="22"/>
                <w:shd w:val="clear" w:color="auto" w:fill="FFFFFF"/>
                <w:lang w:eastAsia="zh-TW"/>
              </w:rPr>
              <w:t>A Guide to the Project Management Body of Knowledge (PMBOK® Guide),</w:t>
            </w:r>
            <w:r w:rsidRPr="002855E4">
              <w:rPr>
                <w:color w:val="222222"/>
                <w:sz w:val="22"/>
                <w:szCs w:val="22"/>
                <w:shd w:val="clear" w:color="auto" w:fill="FFFFFF"/>
                <w:lang w:eastAsia="zh-TW"/>
              </w:rPr>
              <w:t xml:space="preserve"> Fifth Edition.</w:t>
            </w:r>
          </w:p>
          <w:p w14:paraId="36287379" w14:textId="77777777" w:rsidR="00001DE8" w:rsidRPr="002855E4" w:rsidRDefault="00001DE8" w:rsidP="00001DE8">
            <w:pPr>
              <w:numPr>
                <w:ilvl w:val="0"/>
                <w:numId w:val="18"/>
              </w:numPr>
              <w:tabs>
                <w:tab w:val="left" w:pos="-720"/>
                <w:tab w:val="left" w:pos="0"/>
                <w:tab w:val="left" w:pos="522"/>
              </w:tabs>
              <w:suppressAutoHyphens/>
              <w:spacing w:before="120" w:after="120"/>
              <w:ind w:left="522" w:hanging="540"/>
              <w:jc w:val="both"/>
              <w:rPr>
                <w:sz w:val="22"/>
                <w:szCs w:val="22"/>
                <w:lang w:eastAsia="zh-TW"/>
              </w:rPr>
            </w:pPr>
            <w:r w:rsidRPr="002855E4">
              <w:rPr>
                <w:sz w:val="22"/>
                <w:szCs w:val="22"/>
                <w:lang w:eastAsia="zh-TW"/>
              </w:rPr>
              <w:t xml:space="preserve">Smith, NJ (ed.) 2008. </w:t>
            </w:r>
            <w:r w:rsidRPr="002855E4">
              <w:rPr>
                <w:i/>
                <w:sz w:val="22"/>
                <w:szCs w:val="22"/>
                <w:lang w:eastAsia="zh-TW"/>
              </w:rPr>
              <w:t>Engineering Project Management</w:t>
            </w:r>
            <w:r w:rsidRPr="002855E4">
              <w:rPr>
                <w:sz w:val="22"/>
                <w:szCs w:val="22"/>
                <w:lang w:eastAsia="zh-TW"/>
              </w:rPr>
              <w:t>, Blackwell, Oxford</w:t>
            </w:r>
          </w:p>
        </w:tc>
      </w:tr>
    </w:tbl>
    <w:p w14:paraId="3C2FF69D" w14:textId="77777777" w:rsidR="00781FEE" w:rsidRPr="008202F5" w:rsidRDefault="008202F5" w:rsidP="00606437">
      <w:pPr>
        <w:spacing w:before="120" w:after="120"/>
        <w:jc w:val="both"/>
        <w:rPr>
          <w:i/>
          <w:sz w:val="22"/>
          <w:szCs w:val="22"/>
          <w:lang w:eastAsia="zh-TW"/>
        </w:rPr>
      </w:pPr>
      <w:r w:rsidRPr="002855E4">
        <w:rPr>
          <w:i/>
          <w:sz w:val="22"/>
          <w:szCs w:val="22"/>
          <w:lang w:eastAsia="zh-TW"/>
        </w:rPr>
        <w:lastRenderedPageBreak/>
        <w:t>(Revised)</w:t>
      </w:r>
      <w:r w:rsidR="003B63FE" w:rsidRPr="002855E4">
        <w:rPr>
          <w:i/>
          <w:sz w:val="22"/>
          <w:szCs w:val="22"/>
          <w:lang w:eastAsia="zh-TW"/>
        </w:rPr>
        <w:t xml:space="preserve"> </w:t>
      </w:r>
      <w:r w:rsidR="00001DE8" w:rsidRPr="002855E4">
        <w:rPr>
          <w:i/>
          <w:sz w:val="22"/>
          <w:szCs w:val="22"/>
          <w:lang w:eastAsia="zh-TW"/>
        </w:rPr>
        <w:t>June</w:t>
      </w:r>
      <w:r w:rsidR="007E7B2C" w:rsidRPr="002855E4">
        <w:rPr>
          <w:i/>
          <w:sz w:val="22"/>
          <w:szCs w:val="22"/>
          <w:lang w:eastAsia="zh-TW"/>
        </w:rPr>
        <w:t xml:space="preserve"> 20</w:t>
      </w:r>
      <w:r w:rsidR="000574A8" w:rsidRPr="002855E4">
        <w:rPr>
          <w:i/>
          <w:sz w:val="22"/>
          <w:szCs w:val="22"/>
          <w:lang w:eastAsia="zh-TW"/>
        </w:rPr>
        <w:t>24</w:t>
      </w:r>
    </w:p>
    <w:sectPr w:rsidR="00781FEE" w:rsidRPr="008202F5" w:rsidSect="00AA0090">
      <w:footerReference w:type="default" r:id="rId7"/>
      <w:pgSz w:w="11909" w:h="16834" w:code="9"/>
      <w:pgMar w:top="1134" w:right="862" w:bottom="851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4209" w14:textId="77777777" w:rsidR="003D00C5" w:rsidRDefault="003D00C5">
      <w:pPr>
        <w:spacing w:line="20" w:lineRule="exact"/>
      </w:pPr>
    </w:p>
  </w:endnote>
  <w:endnote w:type="continuationSeparator" w:id="0">
    <w:p w14:paraId="157A7496" w14:textId="77777777" w:rsidR="003D00C5" w:rsidRDefault="003D00C5">
      <w:r>
        <w:t xml:space="preserve"> </w:t>
      </w:r>
    </w:p>
  </w:endnote>
  <w:endnote w:type="continuationNotice" w:id="1">
    <w:p w14:paraId="0216F5C2" w14:textId="77777777" w:rsidR="003D00C5" w:rsidRDefault="003D00C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5D7F" w14:textId="77777777" w:rsidR="00D20C16" w:rsidRDefault="00D20C16">
    <w:pPr>
      <w:tabs>
        <w:tab w:val="right" w:pos="9026"/>
      </w:tabs>
      <w:suppressAutoHyphens/>
      <w:jc w:val="both"/>
      <w:rPr>
        <w:spacing w:val="-2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00E3" w14:textId="77777777" w:rsidR="003D00C5" w:rsidRDefault="003D00C5">
      <w:r>
        <w:separator/>
      </w:r>
    </w:p>
  </w:footnote>
  <w:footnote w:type="continuationSeparator" w:id="0">
    <w:p w14:paraId="0897E8E9" w14:textId="77777777" w:rsidR="003D00C5" w:rsidRDefault="003D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A5"/>
    <w:multiLevelType w:val="hybridMultilevel"/>
    <w:tmpl w:val="15244CCE"/>
    <w:lvl w:ilvl="0" w:tplc="D3BE9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6DC"/>
    <w:multiLevelType w:val="hybridMultilevel"/>
    <w:tmpl w:val="3AA65688"/>
    <w:lvl w:ilvl="0" w:tplc="7C94AB6E">
      <w:start w:val="1"/>
      <w:numFmt w:val="decimal"/>
      <w:lvlText w:val="%1."/>
      <w:lvlJc w:val="left"/>
      <w:pPr>
        <w:ind w:left="79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2335"/>
    <w:multiLevelType w:val="singleLevel"/>
    <w:tmpl w:val="238E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3B37887"/>
    <w:multiLevelType w:val="hybridMultilevel"/>
    <w:tmpl w:val="3A2860D4"/>
    <w:lvl w:ilvl="0" w:tplc="7C94AB6E">
      <w:start w:val="1"/>
      <w:numFmt w:val="decimal"/>
      <w:lvlText w:val="%1."/>
      <w:lvlJc w:val="left"/>
      <w:pPr>
        <w:ind w:left="79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3C8D"/>
    <w:multiLevelType w:val="hybridMultilevel"/>
    <w:tmpl w:val="AACE3148"/>
    <w:lvl w:ilvl="0" w:tplc="8202E83A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F6CD2"/>
    <w:multiLevelType w:val="hybridMultilevel"/>
    <w:tmpl w:val="0EE83D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404C"/>
    <w:multiLevelType w:val="hybridMultilevel"/>
    <w:tmpl w:val="C60A1A90"/>
    <w:lvl w:ilvl="0" w:tplc="49F490AE">
      <w:start w:val="7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431D59"/>
    <w:multiLevelType w:val="singleLevel"/>
    <w:tmpl w:val="3722943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B233950"/>
    <w:multiLevelType w:val="hybridMultilevel"/>
    <w:tmpl w:val="5F12A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F3911"/>
    <w:multiLevelType w:val="hybridMultilevel"/>
    <w:tmpl w:val="461C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C560F"/>
    <w:multiLevelType w:val="hybridMultilevel"/>
    <w:tmpl w:val="AACE3148"/>
    <w:lvl w:ilvl="0" w:tplc="8202E83A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92A6E"/>
    <w:multiLevelType w:val="multilevel"/>
    <w:tmpl w:val="0ACC7F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6DEC3E06"/>
    <w:multiLevelType w:val="hybridMultilevel"/>
    <w:tmpl w:val="658E98B8"/>
    <w:lvl w:ilvl="0" w:tplc="1128AD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FF67407"/>
    <w:multiLevelType w:val="multilevel"/>
    <w:tmpl w:val="1FBCB6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790804A2"/>
    <w:multiLevelType w:val="hybridMultilevel"/>
    <w:tmpl w:val="C5E210A2"/>
    <w:lvl w:ilvl="0" w:tplc="D3BE9E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D26AF"/>
    <w:multiLevelType w:val="hybridMultilevel"/>
    <w:tmpl w:val="8BA6EC30"/>
    <w:lvl w:ilvl="0" w:tplc="0409000F">
      <w:start w:val="1"/>
      <w:numFmt w:val="decimal"/>
      <w:lvlText w:val="%1."/>
      <w:lvlJc w:val="left"/>
      <w:pPr>
        <w:ind w:left="949" w:hanging="360"/>
      </w:p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6"/>
  </w:num>
  <w:num w:numId="5">
    <w:abstractNumId w:val="12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2"/>
    <w:lvlOverride w:ilvl="0">
      <w:startOverride w:val="1"/>
    </w:lvlOverride>
  </w:num>
  <w:num w:numId="11">
    <w:abstractNumId w:val="14"/>
  </w:num>
  <w:num w:numId="12">
    <w:abstractNumId w:val="8"/>
  </w:num>
  <w:num w:numId="13">
    <w:abstractNumId w:val="15"/>
  </w:num>
  <w:num w:numId="14">
    <w:abstractNumId w:val="9"/>
  </w:num>
  <w:num w:numId="15">
    <w:abstractNumId w:val="1"/>
  </w:num>
  <w:num w:numId="16">
    <w:abstractNumId w:val="5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MjUwNDU3NbUwNrNU0lEKTi0uzszPAykwqQUAVxyAECwAAAA="/>
  </w:docVars>
  <w:rsids>
    <w:rsidRoot w:val="0009013A"/>
    <w:rsid w:val="00001DE8"/>
    <w:rsid w:val="00023D92"/>
    <w:rsid w:val="00025A45"/>
    <w:rsid w:val="00054091"/>
    <w:rsid w:val="000574A8"/>
    <w:rsid w:val="0009013A"/>
    <w:rsid w:val="000A4F78"/>
    <w:rsid w:val="000D3B39"/>
    <w:rsid w:val="000F435F"/>
    <w:rsid w:val="000F6E0E"/>
    <w:rsid w:val="00104EDD"/>
    <w:rsid w:val="00126E1C"/>
    <w:rsid w:val="001500A1"/>
    <w:rsid w:val="001664B6"/>
    <w:rsid w:val="00175B5E"/>
    <w:rsid w:val="001B40D1"/>
    <w:rsid w:val="001E36D8"/>
    <w:rsid w:val="00200ECE"/>
    <w:rsid w:val="0026220E"/>
    <w:rsid w:val="002704D5"/>
    <w:rsid w:val="002855E4"/>
    <w:rsid w:val="00293556"/>
    <w:rsid w:val="00320824"/>
    <w:rsid w:val="003B63FE"/>
    <w:rsid w:val="003D00C5"/>
    <w:rsid w:val="003E4DAC"/>
    <w:rsid w:val="003E722D"/>
    <w:rsid w:val="0041532C"/>
    <w:rsid w:val="004A0372"/>
    <w:rsid w:val="004B28EB"/>
    <w:rsid w:val="004B4913"/>
    <w:rsid w:val="004B56F0"/>
    <w:rsid w:val="004C3D98"/>
    <w:rsid w:val="004C7228"/>
    <w:rsid w:val="004D0028"/>
    <w:rsid w:val="005E14DD"/>
    <w:rsid w:val="00606437"/>
    <w:rsid w:val="00650A48"/>
    <w:rsid w:val="00692E34"/>
    <w:rsid w:val="006C2775"/>
    <w:rsid w:val="006D5F30"/>
    <w:rsid w:val="006F43F4"/>
    <w:rsid w:val="00704062"/>
    <w:rsid w:val="00757602"/>
    <w:rsid w:val="0077330F"/>
    <w:rsid w:val="00781FEE"/>
    <w:rsid w:val="007923A6"/>
    <w:rsid w:val="007B7718"/>
    <w:rsid w:val="007E7B2C"/>
    <w:rsid w:val="00815A40"/>
    <w:rsid w:val="008202F5"/>
    <w:rsid w:val="0083342A"/>
    <w:rsid w:val="00866183"/>
    <w:rsid w:val="00890509"/>
    <w:rsid w:val="008A1CC5"/>
    <w:rsid w:val="008A2296"/>
    <w:rsid w:val="008F063B"/>
    <w:rsid w:val="009054E3"/>
    <w:rsid w:val="0092038C"/>
    <w:rsid w:val="00920BDF"/>
    <w:rsid w:val="009621E5"/>
    <w:rsid w:val="00975A8D"/>
    <w:rsid w:val="00983661"/>
    <w:rsid w:val="0098704B"/>
    <w:rsid w:val="009A596D"/>
    <w:rsid w:val="009B2465"/>
    <w:rsid w:val="009B3F03"/>
    <w:rsid w:val="009C1FF1"/>
    <w:rsid w:val="009D51E3"/>
    <w:rsid w:val="009D7F93"/>
    <w:rsid w:val="00A10C1C"/>
    <w:rsid w:val="00A167C4"/>
    <w:rsid w:val="00A263EF"/>
    <w:rsid w:val="00A358B4"/>
    <w:rsid w:val="00A54F8D"/>
    <w:rsid w:val="00A6361F"/>
    <w:rsid w:val="00A65C4A"/>
    <w:rsid w:val="00A83A51"/>
    <w:rsid w:val="00AA0090"/>
    <w:rsid w:val="00AD7AB3"/>
    <w:rsid w:val="00AE6483"/>
    <w:rsid w:val="00AF386A"/>
    <w:rsid w:val="00B30B0D"/>
    <w:rsid w:val="00B33037"/>
    <w:rsid w:val="00B94BF9"/>
    <w:rsid w:val="00BE572D"/>
    <w:rsid w:val="00C20AE3"/>
    <w:rsid w:val="00C402C6"/>
    <w:rsid w:val="00C645FE"/>
    <w:rsid w:val="00C6704A"/>
    <w:rsid w:val="00C70796"/>
    <w:rsid w:val="00C735C0"/>
    <w:rsid w:val="00C77972"/>
    <w:rsid w:val="00CA1D28"/>
    <w:rsid w:val="00CA37D0"/>
    <w:rsid w:val="00CC4AEE"/>
    <w:rsid w:val="00CE2AB0"/>
    <w:rsid w:val="00D111A6"/>
    <w:rsid w:val="00D20C16"/>
    <w:rsid w:val="00D259C6"/>
    <w:rsid w:val="00D334D8"/>
    <w:rsid w:val="00D34EBF"/>
    <w:rsid w:val="00D8774F"/>
    <w:rsid w:val="00DA0EE6"/>
    <w:rsid w:val="00DA1EED"/>
    <w:rsid w:val="00DD5935"/>
    <w:rsid w:val="00DD7F5B"/>
    <w:rsid w:val="00DE359A"/>
    <w:rsid w:val="00E13FCF"/>
    <w:rsid w:val="00E20CD3"/>
    <w:rsid w:val="00E25FD2"/>
    <w:rsid w:val="00E71FCE"/>
    <w:rsid w:val="00E91DF9"/>
    <w:rsid w:val="00E955CB"/>
    <w:rsid w:val="00EC15AC"/>
    <w:rsid w:val="00EF6B30"/>
    <w:rsid w:val="00F34145"/>
    <w:rsid w:val="00F34EC1"/>
    <w:rsid w:val="00F63152"/>
    <w:rsid w:val="00F71442"/>
    <w:rsid w:val="00FB4C03"/>
    <w:rsid w:val="00FC6ED6"/>
    <w:rsid w:val="00FE1294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4820F"/>
  <w15:docId w15:val="{DBDD8215-6F99-4337-92AB-A70EBE5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028"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4D002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4D002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D002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D0028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D0028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D0028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D002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D0028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D002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D0028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D0028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D002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D0028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D0028"/>
  </w:style>
  <w:style w:type="character" w:customStyle="1" w:styleId="EquationCaption">
    <w:name w:val="_Equation Caption"/>
    <w:rsid w:val="004D0028"/>
  </w:style>
  <w:style w:type="paragraph" w:styleId="Footer">
    <w:name w:val="footer"/>
    <w:basedOn w:val="Normal"/>
    <w:rsid w:val="004D002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D002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D0028"/>
    <w:pPr>
      <w:tabs>
        <w:tab w:val="left" w:pos="-720"/>
      </w:tabs>
      <w:suppressAutoHyphens/>
      <w:ind w:left="1440" w:hanging="1440"/>
      <w:jc w:val="both"/>
    </w:pPr>
    <w:rPr>
      <w:spacing w:val="-3"/>
      <w:lang w:val="en-GB"/>
    </w:rPr>
  </w:style>
  <w:style w:type="paragraph" w:styleId="Title">
    <w:name w:val="Title"/>
    <w:basedOn w:val="Normal"/>
    <w:qFormat/>
    <w:rsid w:val="004D0028"/>
    <w:pPr>
      <w:tabs>
        <w:tab w:val="center" w:pos="4513"/>
      </w:tabs>
      <w:suppressAutoHyphens/>
      <w:ind w:left="-180" w:right="-334"/>
      <w:jc w:val="center"/>
    </w:pPr>
    <w:rPr>
      <w:b/>
      <w:spacing w:val="-3"/>
      <w:sz w:val="28"/>
      <w:lang w:val="en-GB"/>
    </w:rPr>
  </w:style>
  <w:style w:type="paragraph" w:styleId="BodyTextIndent2">
    <w:name w:val="Body Text Indent 2"/>
    <w:basedOn w:val="Normal"/>
    <w:rsid w:val="004D0028"/>
    <w:pPr>
      <w:tabs>
        <w:tab w:val="left" w:pos="-720"/>
      </w:tabs>
      <w:suppressAutoHyphens/>
      <w:ind w:left="1440" w:hanging="720"/>
      <w:jc w:val="both"/>
    </w:pPr>
    <w:rPr>
      <w:spacing w:val="-3"/>
      <w:lang w:val="en-GB"/>
    </w:rPr>
  </w:style>
  <w:style w:type="table" w:styleId="TableGrid">
    <w:name w:val="Table Grid"/>
    <w:basedOn w:val="TableNormal"/>
    <w:rsid w:val="009F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714CC"/>
    <w:pPr>
      <w:spacing w:after="120"/>
    </w:pPr>
  </w:style>
  <w:style w:type="character" w:customStyle="1" w:styleId="BodyTextChar">
    <w:name w:val="Body Text Char"/>
    <w:link w:val="BodyText"/>
    <w:rsid w:val="003714CC"/>
    <w:rPr>
      <w:sz w:val="24"/>
    </w:rPr>
  </w:style>
  <w:style w:type="paragraph" w:styleId="BalloonText">
    <w:name w:val="Balloon Text"/>
    <w:basedOn w:val="Normal"/>
    <w:link w:val="BalloonTextChar"/>
    <w:rsid w:val="00035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5C01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rsid w:val="00650A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0A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0A48"/>
  </w:style>
  <w:style w:type="paragraph" w:styleId="CommentSubject">
    <w:name w:val="annotation subject"/>
    <w:basedOn w:val="CommentText"/>
    <w:next w:val="CommentText"/>
    <w:link w:val="CommentSubjectChar"/>
    <w:rsid w:val="00650A48"/>
    <w:rPr>
      <w:b/>
      <w:bCs/>
    </w:rPr>
  </w:style>
  <w:style w:type="character" w:customStyle="1" w:styleId="CommentSubjectChar">
    <w:name w:val="Comment Subject Char"/>
    <w:link w:val="CommentSubject"/>
    <w:rsid w:val="00650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4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	C5. DEFINITIVE COURSE DOCUMENT AND COURSE FILE</vt:lpstr>
    </vt:vector>
  </TitlesOfParts>
  <Company>H.K.Polyu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	C5. DEFINITIVE COURSE DOCUMENT AND COURSE FILE</dc:title>
  <dc:creator>Academic Secretariat</dc:creator>
  <cp:lastModifiedBy>Wong, Stephanie CM [FENG]</cp:lastModifiedBy>
  <cp:revision>7</cp:revision>
  <cp:lastPrinted>2019-08-29T04:18:00Z</cp:lastPrinted>
  <dcterms:created xsi:type="dcterms:W3CDTF">2022-07-06T03:20:00Z</dcterms:created>
  <dcterms:modified xsi:type="dcterms:W3CDTF">2024-05-14T01:35:00Z</dcterms:modified>
</cp:coreProperties>
</file>