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CB" w:rsidRDefault="00B26CF3">
      <w:pPr>
        <w:jc w:val="center"/>
      </w:pPr>
      <w:r>
        <w:rPr>
          <w:b/>
          <w:bCs/>
          <w:sz w:val="28"/>
          <w:szCs w:val="28"/>
          <w:u w:val="single"/>
        </w:rPr>
        <w:t>Subject Description Form</w:t>
      </w:r>
    </w:p>
    <w:p w:rsidR="00236FCB" w:rsidRDefault="00236FCB"/>
    <w:p w:rsidR="00236FCB" w:rsidRDefault="00236FCB">
      <w:pPr>
        <w:rPr>
          <w:sz w:val="16"/>
          <w:szCs w:val="16"/>
        </w:rPr>
      </w:pPr>
    </w:p>
    <w:tbl>
      <w:tblPr>
        <w:tblW w:w="103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7"/>
        <w:gridCol w:w="5740"/>
        <w:gridCol w:w="2434"/>
      </w:tblGrid>
      <w:tr w:rsidR="00236FCB" w:rsidTr="00210566">
        <w:trPr>
          <w:trHeight w:val="252"/>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Subject Code</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9B3AC4" w:rsidP="006045BC">
            <w:pPr>
              <w:spacing w:before="120" w:after="120"/>
            </w:pPr>
            <w:r>
              <w:rPr>
                <w:sz w:val="22"/>
                <w:szCs w:val="22"/>
              </w:rPr>
              <w:t>ISE5026</w:t>
            </w:r>
            <w:bookmarkStart w:id="0" w:name="_GoBack"/>
            <w:bookmarkEnd w:id="0"/>
          </w:p>
        </w:tc>
      </w:tr>
      <w:tr w:rsidR="00236FCB" w:rsidTr="00210566">
        <w:trPr>
          <w:trHeight w:val="252"/>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Subject Title</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DB19F0">
            <w:pPr>
              <w:spacing w:before="120" w:after="120"/>
            </w:pPr>
            <w:r>
              <w:t>Technology Entrepreneurship and Innovation in Practice</w:t>
            </w:r>
          </w:p>
        </w:tc>
      </w:tr>
      <w:tr w:rsidR="00236FCB" w:rsidTr="00210566">
        <w:trPr>
          <w:trHeight w:val="252"/>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Credit Value</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sz w:val="22"/>
                <w:szCs w:val="22"/>
              </w:rPr>
              <w:t>3</w:t>
            </w:r>
          </w:p>
        </w:tc>
      </w:tr>
      <w:tr w:rsidR="00236FCB" w:rsidTr="00210566">
        <w:trPr>
          <w:trHeight w:val="252"/>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Level</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sz w:val="22"/>
                <w:szCs w:val="22"/>
              </w:rPr>
              <w:t>5</w:t>
            </w:r>
          </w:p>
        </w:tc>
      </w:tr>
      <w:tr w:rsidR="00236FCB" w:rsidTr="00210566">
        <w:trPr>
          <w:trHeight w:val="75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Pre-requisite /     Co-requisite/</w:t>
            </w:r>
            <w:r>
              <w:rPr>
                <w:rFonts w:ascii="Arial Unicode MS" w:hAnsi="Arial Unicode MS"/>
              </w:rPr>
              <w:br/>
            </w:r>
            <w:r>
              <w:rPr>
                <w:b/>
                <w:bCs/>
              </w:rPr>
              <w:t>Exclusion</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6" w:type="dxa"/>
              <w:bottom w:w="80" w:type="dxa"/>
              <w:right w:w="80" w:type="dxa"/>
            </w:tcMar>
          </w:tcPr>
          <w:p w:rsidR="00236FCB" w:rsidRDefault="001016AA">
            <w:pPr>
              <w:tabs>
                <w:tab w:val="left" w:pos="656"/>
                <w:tab w:val="left" w:pos="2456"/>
                <w:tab w:val="left" w:pos="3896"/>
              </w:tabs>
              <w:spacing w:before="120" w:after="120"/>
              <w:ind w:left="116" w:hanging="116"/>
              <w:jc w:val="both"/>
            </w:pPr>
            <w:r>
              <w:rPr>
                <w:sz w:val="22"/>
                <w:szCs w:val="22"/>
              </w:rPr>
              <w:t>N</w:t>
            </w:r>
            <w:r w:rsidR="00B26CF3">
              <w:rPr>
                <w:sz w:val="22"/>
                <w:szCs w:val="22"/>
              </w:rPr>
              <w:t>one</w:t>
            </w:r>
          </w:p>
        </w:tc>
      </w:tr>
      <w:tr w:rsidR="00236FCB" w:rsidTr="00210566">
        <w:trPr>
          <w:trHeight w:val="6569"/>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Objectives</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236FCB">
            <w:pPr>
              <w:tabs>
                <w:tab w:val="left" w:pos="1635"/>
              </w:tabs>
              <w:suppressAutoHyphens/>
              <w:jc w:val="both"/>
            </w:pPr>
          </w:p>
          <w:p w:rsidR="00236FCB" w:rsidRDefault="00B26CF3">
            <w:pPr>
              <w:suppressAutoHyphens/>
              <w:jc w:val="both"/>
            </w:pPr>
            <w:r>
              <w:t xml:space="preserve">The subject aims to provide an analysis of the relationship of scientific research, innovation and </w:t>
            </w:r>
            <w:r w:rsidR="00BE4F12">
              <w:t xml:space="preserve">technology </w:t>
            </w:r>
            <w:r>
              <w:t xml:space="preserve">entrepreneurship in their role as driver of the knowledge-based economy. It will analyze the methods and approaches to nurture innovation and pursue technology entrepreneurship. It will highlight the role and interaction of players of the innovation system in a region or nation aspiring to establishing an economy based on knowledge. </w:t>
            </w:r>
          </w:p>
          <w:p w:rsidR="00236FCB" w:rsidRDefault="00236FCB">
            <w:pPr>
              <w:suppressAutoHyphens/>
              <w:jc w:val="both"/>
            </w:pPr>
          </w:p>
          <w:p w:rsidR="00236FCB" w:rsidRDefault="00B26CF3">
            <w:pPr>
              <w:suppressAutoHyphens/>
              <w:jc w:val="both"/>
            </w:pPr>
            <w:r>
              <w:t>Upon completion of this subject, students should be able to accomplish the following :</w:t>
            </w:r>
          </w:p>
          <w:p w:rsidR="00236FCB" w:rsidRDefault="00236FCB">
            <w:pPr>
              <w:suppressAutoHyphens/>
              <w:jc w:val="both"/>
            </w:pPr>
          </w:p>
          <w:p w:rsidR="00236FCB" w:rsidRDefault="00B26CF3">
            <w:pPr>
              <w:numPr>
                <w:ilvl w:val="0"/>
                <w:numId w:val="1"/>
              </w:numPr>
              <w:suppressAutoHyphens/>
              <w:jc w:val="both"/>
            </w:pPr>
            <w:r>
              <w:t xml:space="preserve">Understanding the concept of innovation and </w:t>
            </w:r>
            <w:r w:rsidR="00BE4F12">
              <w:t xml:space="preserve">technology </w:t>
            </w:r>
            <w:r>
              <w:t>entrepreneurship and the components of an effective innovation system</w:t>
            </w:r>
          </w:p>
          <w:p w:rsidR="00236FCB" w:rsidRDefault="00236FCB">
            <w:pPr>
              <w:tabs>
                <w:tab w:val="left" w:pos="360"/>
              </w:tabs>
              <w:suppressAutoHyphens/>
              <w:jc w:val="both"/>
            </w:pPr>
          </w:p>
          <w:p w:rsidR="00236FCB" w:rsidRDefault="00B26CF3">
            <w:pPr>
              <w:tabs>
                <w:tab w:val="left" w:pos="360"/>
              </w:tabs>
              <w:suppressAutoHyphens/>
              <w:jc w:val="both"/>
            </w:pPr>
            <w:r>
              <w:t>2.  Having the ability to appraise different models of developing innovation for companies engaged</w:t>
            </w:r>
            <w:r w:rsidR="00210566">
              <w:t xml:space="preserve"> </w:t>
            </w:r>
            <w:r>
              <w:t>in commercialization of products and services</w:t>
            </w:r>
          </w:p>
          <w:p w:rsidR="00236FCB" w:rsidRDefault="00236FCB">
            <w:pPr>
              <w:tabs>
                <w:tab w:val="left" w:pos="360"/>
              </w:tabs>
              <w:suppressAutoHyphens/>
              <w:jc w:val="both"/>
            </w:pPr>
          </w:p>
          <w:p w:rsidR="00236FCB" w:rsidRDefault="00B26CF3">
            <w:pPr>
              <w:tabs>
                <w:tab w:val="left" w:pos="360"/>
              </w:tabs>
              <w:suppressAutoHyphens/>
              <w:jc w:val="both"/>
            </w:pPr>
            <w:r>
              <w:t>3. Understanding the fundamental elements of an effective eco- system of innovation</w:t>
            </w:r>
          </w:p>
          <w:p w:rsidR="00236FCB" w:rsidRDefault="00236FCB">
            <w:pPr>
              <w:tabs>
                <w:tab w:val="left" w:pos="360"/>
              </w:tabs>
              <w:suppressAutoHyphens/>
              <w:jc w:val="both"/>
            </w:pPr>
          </w:p>
          <w:p w:rsidR="00236FCB" w:rsidRDefault="00B26CF3">
            <w:pPr>
              <w:tabs>
                <w:tab w:val="left" w:pos="360"/>
              </w:tabs>
              <w:suppressAutoHyphens/>
              <w:jc w:val="both"/>
            </w:pPr>
            <w:r>
              <w:t>4. Gaining an insight on implementation of a technology entrepreneurship and the essence of management of change</w:t>
            </w:r>
          </w:p>
          <w:p w:rsidR="00236FCB" w:rsidRDefault="00236FCB">
            <w:pPr>
              <w:tabs>
                <w:tab w:val="left" w:pos="360"/>
              </w:tabs>
              <w:suppressAutoHyphens/>
              <w:jc w:val="both"/>
            </w:pPr>
          </w:p>
          <w:p w:rsidR="00236FCB" w:rsidRDefault="00B26CF3">
            <w:pPr>
              <w:tabs>
                <w:tab w:val="left" w:pos="360"/>
              </w:tabs>
              <w:suppressAutoHyphens/>
              <w:jc w:val="both"/>
            </w:pPr>
            <w:r>
              <w:t>5. Keeping abreast with the best practices and role models of successful entrepreneurship in the Asia Pacific Region</w:t>
            </w:r>
          </w:p>
        </w:tc>
      </w:tr>
      <w:tr w:rsidR="00236FCB" w:rsidTr="00210566">
        <w:trPr>
          <w:trHeight w:val="3133"/>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lastRenderedPageBreak/>
              <w:t>Intended Learning Outcomes</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t>Upon completion of the subject, students will be able to:</w:t>
            </w:r>
          </w:p>
          <w:p w:rsidR="00236FCB" w:rsidRDefault="00B26CF3">
            <w:pPr>
              <w:numPr>
                <w:ilvl w:val="0"/>
                <w:numId w:val="2"/>
              </w:numPr>
              <w:jc w:val="both"/>
            </w:pPr>
            <w:r>
              <w:t xml:space="preserve">Understand the concepts and salient aspects of innovation and </w:t>
            </w:r>
            <w:r w:rsidR="00BE4F12">
              <w:t xml:space="preserve">technology </w:t>
            </w:r>
            <w:r>
              <w:t xml:space="preserve">entrepreneurship </w:t>
            </w:r>
          </w:p>
          <w:p w:rsidR="00236FCB" w:rsidRDefault="00236FCB">
            <w:pPr>
              <w:suppressAutoHyphens/>
              <w:jc w:val="both"/>
            </w:pPr>
          </w:p>
          <w:p w:rsidR="00236FCB" w:rsidRDefault="00B26CF3">
            <w:pPr>
              <w:numPr>
                <w:ilvl w:val="0"/>
                <w:numId w:val="3"/>
              </w:numPr>
              <w:suppressAutoHyphens/>
              <w:jc w:val="both"/>
            </w:pPr>
            <w:r>
              <w:t>recognize the crucial role of national innovation system and the modes of  operation under different social-political environment</w:t>
            </w:r>
          </w:p>
          <w:p w:rsidR="00236FCB" w:rsidRDefault="00236FCB">
            <w:pPr>
              <w:suppressAutoHyphens/>
              <w:jc w:val="both"/>
            </w:pPr>
          </w:p>
          <w:p w:rsidR="00236FCB" w:rsidRDefault="00B26CF3">
            <w:pPr>
              <w:numPr>
                <w:ilvl w:val="0"/>
                <w:numId w:val="3"/>
              </w:numPr>
              <w:suppressAutoHyphens/>
              <w:jc w:val="both"/>
            </w:pPr>
            <w:r>
              <w:t>nurture the culture of entrepreneurship and the essence of management of change</w:t>
            </w:r>
          </w:p>
          <w:p w:rsidR="00236FCB" w:rsidRDefault="00236FCB">
            <w:pPr>
              <w:suppressAutoHyphens/>
              <w:jc w:val="both"/>
            </w:pPr>
          </w:p>
          <w:p w:rsidR="00236FCB" w:rsidRDefault="00B26CF3">
            <w:pPr>
              <w:numPr>
                <w:ilvl w:val="0"/>
                <w:numId w:val="3"/>
              </w:numPr>
              <w:suppressAutoHyphens/>
              <w:jc w:val="both"/>
            </w:pPr>
            <w:r>
              <w:t xml:space="preserve">familiarize with global best practices for innovation and </w:t>
            </w:r>
            <w:r w:rsidR="00BE4F12">
              <w:t xml:space="preserve">technology </w:t>
            </w:r>
            <w:r>
              <w:t xml:space="preserve">entrepreneurship </w:t>
            </w:r>
          </w:p>
        </w:tc>
      </w:tr>
      <w:tr w:rsidR="00236FCB" w:rsidTr="00210566">
        <w:trPr>
          <w:trHeight w:val="6317"/>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Subject Synopsis/ Indicative Syllabus</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uppressAutoHyphens/>
              <w:jc w:val="both"/>
            </w:pPr>
            <w:r>
              <w:t>The subject shows the</w:t>
            </w:r>
            <w:r w:rsidR="00210566">
              <w:t xml:space="preserve"> </w:t>
            </w:r>
            <w:r>
              <w:t xml:space="preserve">importance of critical activities and approaches to manage the challenges on innovation and </w:t>
            </w:r>
            <w:r w:rsidR="00BE4F12">
              <w:t xml:space="preserve">technology </w:t>
            </w:r>
            <w:r>
              <w:t xml:space="preserve">entrepreneurship. The following topics are covered; </w:t>
            </w:r>
          </w:p>
          <w:p w:rsidR="00236FCB" w:rsidRDefault="00236FCB">
            <w:pPr>
              <w:suppressAutoHyphens/>
              <w:jc w:val="both"/>
            </w:pPr>
          </w:p>
          <w:p w:rsidR="00236FCB" w:rsidRDefault="00B26CF3">
            <w:pPr>
              <w:suppressAutoHyphens/>
              <w:jc w:val="both"/>
              <w:rPr>
                <w:u w:val="single"/>
              </w:rPr>
            </w:pPr>
            <w:r>
              <w:rPr>
                <w:u w:val="single"/>
              </w:rPr>
              <w:t xml:space="preserve">Basic Concepts of Innovation and </w:t>
            </w:r>
            <w:r w:rsidR="00BE4F12">
              <w:rPr>
                <w:u w:val="single"/>
              </w:rPr>
              <w:t xml:space="preserve">Technology </w:t>
            </w:r>
            <w:r>
              <w:rPr>
                <w:u w:val="single"/>
              </w:rPr>
              <w:t>Entrepreneurship</w:t>
            </w:r>
          </w:p>
          <w:p w:rsidR="00236FCB" w:rsidRDefault="00B26CF3">
            <w:pPr>
              <w:suppressAutoHyphens/>
              <w:jc w:val="both"/>
            </w:pPr>
            <w:r>
              <w:t>Drivers of economic growth, concept of innovation and innovation process, technology entrepreneurship, different models of developing innovation, the process of commercialization of research results, business model and business plan</w:t>
            </w:r>
          </w:p>
          <w:p w:rsidR="00236FCB" w:rsidRDefault="00236FCB">
            <w:pPr>
              <w:suppressAutoHyphens/>
              <w:jc w:val="both"/>
            </w:pPr>
          </w:p>
          <w:p w:rsidR="00236FCB" w:rsidRDefault="00B26CF3">
            <w:pPr>
              <w:suppressAutoHyphens/>
              <w:jc w:val="both"/>
              <w:rPr>
                <w:u w:val="single"/>
              </w:rPr>
            </w:pPr>
            <w:r>
              <w:rPr>
                <w:u w:val="single"/>
              </w:rPr>
              <w:t>The National Innovation System</w:t>
            </w:r>
          </w:p>
          <w:p w:rsidR="00236FCB" w:rsidRDefault="00B26CF3">
            <w:pPr>
              <w:suppressAutoHyphens/>
              <w:jc w:val="both"/>
            </w:pPr>
            <w:r>
              <w:t xml:space="preserve">The roles of the University, business, government and the technology institute, the different modes of interaction of these players, eco-environmental factors of </w:t>
            </w:r>
          </w:p>
          <w:p w:rsidR="00236FCB" w:rsidRDefault="00B26CF3">
            <w:pPr>
              <w:suppressAutoHyphens/>
              <w:jc w:val="both"/>
            </w:pPr>
            <w:r>
              <w:t>an effective innovation system</w:t>
            </w:r>
          </w:p>
          <w:p w:rsidR="00236FCB" w:rsidRDefault="00236FCB">
            <w:pPr>
              <w:suppressAutoHyphens/>
              <w:jc w:val="both"/>
            </w:pPr>
          </w:p>
          <w:p w:rsidR="00236FCB" w:rsidRPr="00835802" w:rsidRDefault="00B26CF3">
            <w:pPr>
              <w:suppressAutoHyphens/>
              <w:jc w:val="both"/>
              <w:rPr>
                <w:u w:val="single"/>
              </w:rPr>
            </w:pPr>
            <w:r w:rsidRPr="00835802">
              <w:rPr>
                <w:u w:val="single"/>
              </w:rPr>
              <w:t>Culture of Entrepreneurship and Management of Change</w:t>
            </w:r>
          </w:p>
          <w:p w:rsidR="00236FCB" w:rsidRDefault="00B26CF3">
            <w:pPr>
              <w:suppressAutoHyphens/>
              <w:jc w:val="both"/>
            </w:pPr>
            <w:r>
              <w:t xml:space="preserve">The concepts of Laozi and Confucius related to Innovation and </w:t>
            </w:r>
            <w:r w:rsidR="00BE4F12">
              <w:t xml:space="preserve">technology </w:t>
            </w:r>
            <w:r>
              <w:t>entrepreneurship, management of change, the method for building and nurturing the spirit of entrepreneurship</w:t>
            </w:r>
          </w:p>
          <w:p w:rsidR="00236FCB" w:rsidRDefault="00236FCB">
            <w:pPr>
              <w:suppressAutoHyphens/>
              <w:jc w:val="both"/>
            </w:pPr>
          </w:p>
          <w:p w:rsidR="00236FCB" w:rsidRDefault="00B26CF3">
            <w:pPr>
              <w:suppressAutoHyphens/>
              <w:jc w:val="both"/>
              <w:rPr>
                <w:u w:val="single"/>
              </w:rPr>
            </w:pPr>
            <w:r>
              <w:rPr>
                <w:u w:val="single"/>
              </w:rPr>
              <w:t xml:space="preserve">Role Models Best Practices </w:t>
            </w:r>
          </w:p>
          <w:p w:rsidR="00236FCB" w:rsidRDefault="00B26CF3">
            <w:pPr>
              <w:suppressAutoHyphens/>
              <w:jc w:val="both"/>
            </w:pPr>
            <w:r>
              <w:t xml:space="preserve">The legacy of the four most successful global innovator groups </w:t>
            </w:r>
            <w:proofErr w:type="gramStart"/>
            <w:r>
              <w:t>are examined</w:t>
            </w:r>
            <w:proofErr w:type="gramEnd"/>
            <w:r>
              <w:t>: Silicon Valley, ITRI/</w:t>
            </w:r>
            <w:proofErr w:type="spellStart"/>
            <w:r>
              <w:t>Hsin</w:t>
            </w:r>
            <w:proofErr w:type="spellEnd"/>
            <w:r>
              <w:t>-Chu, Shenzhen and Singapore. Stories and case studies of very successful</w:t>
            </w:r>
            <w:r w:rsidR="00BE4F12">
              <w:t xml:space="preserve"> technology</w:t>
            </w:r>
            <w:r>
              <w:t xml:space="preserve"> entrepreneurship </w:t>
            </w:r>
            <w:proofErr w:type="gramStart"/>
            <w:r>
              <w:t>are discussed</w:t>
            </w:r>
            <w:proofErr w:type="gramEnd"/>
            <w:r>
              <w:t xml:space="preserve">. </w:t>
            </w:r>
          </w:p>
        </w:tc>
      </w:tr>
      <w:tr w:rsidR="00236FCB" w:rsidTr="00210566">
        <w:trPr>
          <w:trHeight w:val="5944"/>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lastRenderedPageBreak/>
              <w:t xml:space="preserve">Teaching/Learning Methodology </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uppressAutoHyphens/>
              <w:jc w:val="both"/>
            </w:pPr>
            <w:r>
              <w:t xml:space="preserve">As shown in Table 1, this subject is offered in block mode format on weekends, usually spread over a period of4-6 weeks. A mixture of lectures, tutorial exercises, and case studies </w:t>
            </w:r>
            <w:proofErr w:type="gramStart"/>
            <w:r>
              <w:t>will be used</w:t>
            </w:r>
            <w:proofErr w:type="gramEnd"/>
            <w:r>
              <w:t xml:space="preserve"> to deliver the various topics in this subject. Some of which will be covered in a problem-based format where this enhances the learning objectives. Others </w:t>
            </w:r>
            <w:proofErr w:type="gramStart"/>
            <w:r>
              <w:t>will be delivered</w:t>
            </w:r>
            <w:proofErr w:type="gramEnd"/>
            <w:r>
              <w:t xml:space="preserve"> directly through directed study in order to enhance the students’ ability of “learning to learn”. A mini-project </w:t>
            </w:r>
            <w:proofErr w:type="gramStart"/>
            <w:r>
              <w:t>will be used</w:t>
            </w:r>
            <w:proofErr w:type="gramEnd"/>
            <w:r>
              <w:t xml:space="preserve"> to integrate related topics and the students will demonstrate how to apply various techniques in real life situations. Cross fertilization of ideas and experiences of students through discussions and presentations are highly encouraged. </w:t>
            </w:r>
          </w:p>
          <w:p w:rsidR="00236FCB" w:rsidRDefault="00236FCB">
            <w:pPr>
              <w:suppressAutoHyphens/>
              <w:jc w:val="both"/>
            </w:pPr>
          </w:p>
          <w:p w:rsidR="00210566" w:rsidRDefault="00210566">
            <w:pPr>
              <w:suppressAutoHyphens/>
              <w:jc w:val="both"/>
            </w:pPr>
            <w:r>
              <w:t xml:space="preserve">Table 1: </w:t>
            </w:r>
          </w:p>
          <w:p w:rsidR="00236FCB" w:rsidRDefault="00236FCB">
            <w:pPr>
              <w:suppressAutoHyphens/>
              <w:jc w:val="both"/>
            </w:pPr>
          </w:p>
          <w:tbl>
            <w:tblPr>
              <w:tblStyle w:val="TableGrid"/>
              <w:tblW w:w="0" w:type="auto"/>
              <w:jc w:val="center"/>
              <w:tblLayout w:type="fixed"/>
              <w:tblLook w:val="04A0" w:firstRow="1" w:lastRow="0" w:firstColumn="1" w:lastColumn="0" w:noHBand="0" w:noVBand="1"/>
            </w:tblPr>
            <w:tblGrid>
              <w:gridCol w:w="1997"/>
              <w:gridCol w:w="956"/>
              <w:gridCol w:w="957"/>
              <w:gridCol w:w="957"/>
              <w:gridCol w:w="957"/>
            </w:tblGrid>
            <w:tr w:rsidR="00210566" w:rsidRPr="00A24A27" w:rsidTr="00210566">
              <w:trPr>
                <w:trHeight w:val="510"/>
                <w:jc w:val="center"/>
              </w:trPr>
              <w:tc>
                <w:tcPr>
                  <w:tcW w:w="1997"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sz w:val="22"/>
                      <w:szCs w:val="22"/>
                    </w:rPr>
                    <w:t>Teaching/ Learning Methodology</w:t>
                  </w:r>
                </w:p>
              </w:tc>
              <w:tc>
                <w:tcPr>
                  <w:tcW w:w="3827" w:type="dxa"/>
                  <w:gridSpan w:val="4"/>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sz w:val="22"/>
                      <w:szCs w:val="22"/>
                    </w:rPr>
                    <w:t>Intended subject learning outcomes</w:t>
                  </w:r>
                </w:p>
              </w:tc>
            </w:tr>
            <w:tr w:rsidR="00210566" w:rsidRPr="00A24A27" w:rsidTr="00210566">
              <w:trPr>
                <w:trHeight w:val="173"/>
                <w:jc w:val="center"/>
              </w:trPr>
              <w:tc>
                <w:tcPr>
                  <w:tcW w:w="1997" w:type="dxa"/>
                </w:tcPr>
                <w:p w:rsidR="00210566" w:rsidRPr="00A24A27" w:rsidRDefault="00210566" w:rsidP="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szCs w:val="22"/>
                    </w:rPr>
                  </w:pPr>
                </w:p>
              </w:tc>
              <w:tc>
                <w:tcPr>
                  <w:tcW w:w="956" w:type="dxa"/>
                </w:tcPr>
                <w:p w:rsidR="00210566" w:rsidRPr="00A24A27" w:rsidRDefault="00210566"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A24A27">
                    <w:rPr>
                      <w:sz w:val="22"/>
                      <w:szCs w:val="22"/>
                    </w:rPr>
                    <w:t>a</w:t>
                  </w:r>
                </w:p>
              </w:tc>
              <w:tc>
                <w:tcPr>
                  <w:tcW w:w="957" w:type="dxa"/>
                </w:tcPr>
                <w:p w:rsidR="00210566" w:rsidRPr="00A24A27" w:rsidRDefault="00210566"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A24A27">
                    <w:rPr>
                      <w:sz w:val="22"/>
                    </w:rPr>
                    <w:t>b</w:t>
                  </w:r>
                </w:p>
              </w:tc>
              <w:tc>
                <w:tcPr>
                  <w:tcW w:w="957" w:type="dxa"/>
                </w:tcPr>
                <w:p w:rsidR="00210566" w:rsidRPr="00A24A27" w:rsidRDefault="00210566"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A24A27">
                    <w:rPr>
                      <w:sz w:val="22"/>
                    </w:rPr>
                    <w:t>c</w:t>
                  </w:r>
                </w:p>
              </w:tc>
              <w:tc>
                <w:tcPr>
                  <w:tcW w:w="957" w:type="dxa"/>
                </w:tcPr>
                <w:p w:rsidR="00210566" w:rsidRPr="00A24A27" w:rsidRDefault="00210566"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A24A27">
                    <w:rPr>
                      <w:sz w:val="22"/>
                    </w:rPr>
                    <w:t>d</w:t>
                  </w:r>
                </w:p>
              </w:tc>
            </w:tr>
            <w:tr w:rsidR="006045BC" w:rsidRPr="00A24A27" w:rsidTr="00210566">
              <w:trPr>
                <w:trHeight w:val="173"/>
                <w:jc w:val="center"/>
              </w:trPr>
              <w:tc>
                <w:tcPr>
                  <w:tcW w:w="1997"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sz w:val="22"/>
                      <w:szCs w:val="22"/>
                    </w:rPr>
                    <w:t>1.Lectures</w:t>
                  </w:r>
                </w:p>
              </w:tc>
              <w:tc>
                <w:tcPr>
                  <w:tcW w:w="956"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743A06">
                    <w:sym w:font="Wingdings" w:char="F0FC"/>
                  </w:r>
                </w:p>
              </w:tc>
              <w:tc>
                <w:tcPr>
                  <w:tcW w:w="957" w:type="dxa"/>
                </w:tcPr>
                <w:p w:rsidR="006045BC" w:rsidRDefault="006045BC" w:rsidP="006045BC">
                  <w:pPr>
                    <w:jc w:val="center"/>
                  </w:pPr>
                  <w:r w:rsidRPr="00FD10C4">
                    <w:sym w:font="Wingdings" w:char="F0FC"/>
                  </w:r>
                </w:p>
              </w:tc>
              <w:tc>
                <w:tcPr>
                  <w:tcW w:w="957" w:type="dxa"/>
                </w:tcPr>
                <w:p w:rsidR="006045BC" w:rsidRDefault="006045BC" w:rsidP="006045BC">
                  <w:pPr>
                    <w:jc w:val="center"/>
                  </w:pPr>
                  <w:r w:rsidRPr="00FD10C4">
                    <w:sym w:font="Wingdings" w:char="F0FC"/>
                  </w:r>
                </w:p>
              </w:tc>
              <w:tc>
                <w:tcPr>
                  <w:tcW w:w="957" w:type="dxa"/>
                </w:tcPr>
                <w:p w:rsidR="006045BC" w:rsidRDefault="006045BC" w:rsidP="006045BC">
                  <w:pPr>
                    <w:jc w:val="center"/>
                  </w:pPr>
                  <w:r w:rsidRPr="00FD10C4">
                    <w:sym w:font="Wingdings" w:char="F0FC"/>
                  </w:r>
                </w:p>
              </w:tc>
            </w:tr>
            <w:tr w:rsidR="006045BC" w:rsidRPr="00A24A27" w:rsidTr="00210566">
              <w:trPr>
                <w:trHeight w:val="345"/>
                <w:jc w:val="center"/>
              </w:trPr>
              <w:tc>
                <w:tcPr>
                  <w:tcW w:w="1997" w:type="dxa"/>
                </w:tcPr>
                <w:p w:rsidR="006045BC" w:rsidRPr="00A24A27" w:rsidRDefault="006045BC" w:rsidP="006045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sz w:val="22"/>
                      <w:szCs w:val="22"/>
                    </w:rPr>
                    <w:t>In-class activities</w:t>
                  </w:r>
                </w:p>
              </w:tc>
              <w:tc>
                <w:tcPr>
                  <w:tcW w:w="956" w:type="dxa"/>
                </w:tcPr>
                <w:p w:rsidR="006045BC" w:rsidRDefault="006045BC" w:rsidP="006045BC">
                  <w:pPr>
                    <w:jc w:val="center"/>
                  </w:pPr>
                  <w:r w:rsidRPr="000740B6">
                    <w:sym w:font="Wingdings" w:char="F0FC"/>
                  </w:r>
                </w:p>
              </w:tc>
              <w:tc>
                <w:tcPr>
                  <w:tcW w:w="957" w:type="dxa"/>
                </w:tcPr>
                <w:p w:rsidR="006045BC" w:rsidRDefault="006045BC" w:rsidP="006045BC">
                  <w:pPr>
                    <w:jc w:val="center"/>
                  </w:pPr>
                  <w:r w:rsidRPr="000740B6">
                    <w:sym w:font="Wingdings" w:char="F0FC"/>
                  </w:r>
                </w:p>
              </w:tc>
              <w:tc>
                <w:tcPr>
                  <w:tcW w:w="957" w:type="dxa"/>
                </w:tcPr>
                <w:p w:rsidR="006045BC" w:rsidRDefault="006045BC" w:rsidP="006045BC">
                  <w:pPr>
                    <w:jc w:val="center"/>
                  </w:pPr>
                  <w:r w:rsidRPr="000740B6">
                    <w:sym w:font="Wingdings" w:char="F0FC"/>
                  </w:r>
                </w:p>
              </w:tc>
              <w:tc>
                <w:tcPr>
                  <w:tcW w:w="957"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r>
            <w:tr w:rsidR="006045BC" w:rsidRPr="00A24A27" w:rsidTr="00210566">
              <w:trPr>
                <w:trHeight w:val="173"/>
                <w:jc w:val="center"/>
              </w:trPr>
              <w:tc>
                <w:tcPr>
                  <w:tcW w:w="1997"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rFonts w:eastAsia="Agency FB" w:cs="Agency FB"/>
                      <w:sz w:val="22"/>
                      <w:szCs w:val="22"/>
                    </w:rPr>
                    <w:t>3. Case studies</w:t>
                  </w:r>
                </w:p>
              </w:tc>
              <w:tc>
                <w:tcPr>
                  <w:tcW w:w="956" w:type="dxa"/>
                </w:tcPr>
                <w:p w:rsidR="006045BC" w:rsidRDefault="006045BC" w:rsidP="006045BC">
                  <w:pPr>
                    <w:jc w:val="center"/>
                  </w:pPr>
                  <w:r w:rsidRPr="000740B6">
                    <w:sym w:font="Wingdings" w:char="F0FC"/>
                  </w:r>
                </w:p>
              </w:tc>
              <w:tc>
                <w:tcPr>
                  <w:tcW w:w="957" w:type="dxa"/>
                </w:tcPr>
                <w:p w:rsidR="006045BC" w:rsidRDefault="006045BC" w:rsidP="006045BC">
                  <w:pPr>
                    <w:jc w:val="center"/>
                  </w:pPr>
                  <w:r w:rsidRPr="000740B6">
                    <w:sym w:font="Wingdings" w:char="F0FC"/>
                  </w:r>
                </w:p>
              </w:tc>
              <w:tc>
                <w:tcPr>
                  <w:tcW w:w="957" w:type="dxa"/>
                </w:tcPr>
                <w:p w:rsidR="006045BC" w:rsidRDefault="006045BC" w:rsidP="006045BC">
                  <w:pPr>
                    <w:jc w:val="center"/>
                  </w:pPr>
                  <w:r w:rsidRPr="000740B6">
                    <w:sym w:font="Wingdings" w:char="F0FC"/>
                  </w:r>
                </w:p>
              </w:tc>
              <w:tc>
                <w:tcPr>
                  <w:tcW w:w="957"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r>
            <w:tr w:rsidR="006045BC" w:rsidRPr="00A24A27" w:rsidTr="00210566">
              <w:trPr>
                <w:trHeight w:val="173"/>
                <w:jc w:val="center"/>
              </w:trPr>
              <w:tc>
                <w:tcPr>
                  <w:tcW w:w="1997"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r w:rsidRPr="00A24A27">
                    <w:rPr>
                      <w:rFonts w:eastAsia="Agency FB" w:cs="Agency FB"/>
                      <w:sz w:val="22"/>
                      <w:szCs w:val="22"/>
                    </w:rPr>
                    <w:t>4. Mini-project</w:t>
                  </w:r>
                </w:p>
              </w:tc>
              <w:tc>
                <w:tcPr>
                  <w:tcW w:w="956" w:type="dxa"/>
                </w:tcPr>
                <w:p w:rsidR="006045BC" w:rsidRPr="00A24A27" w:rsidRDefault="006045BC" w:rsidP="006045B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sz w:val="22"/>
                    </w:rPr>
                  </w:pPr>
                  <w:r w:rsidRPr="00743A06">
                    <w:sym w:font="Wingdings" w:char="F0FC"/>
                  </w:r>
                </w:p>
              </w:tc>
              <w:tc>
                <w:tcPr>
                  <w:tcW w:w="957" w:type="dxa"/>
                </w:tcPr>
                <w:p w:rsidR="006045BC" w:rsidRDefault="006045BC" w:rsidP="006045BC">
                  <w:pPr>
                    <w:jc w:val="center"/>
                  </w:pPr>
                  <w:r w:rsidRPr="00FD10C4">
                    <w:sym w:font="Wingdings" w:char="F0FC"/>
                  </w:r>
                </w:p>
              </w:tc>
              <w:tc>
                <w:tcPr>
                  <w:tcW w:w="957" w:type="dxa"/>
                </w:tcPr>
                <w:p w:rsidR="006045BC" w:rsidRDefault="006045BC" w:rsidP="006045BC">
                  <w:pPr>
                    <w:jc w:val="center"/>
                  </w:pPr>
                  <w:r w:rsidRPr="00FD10C4">
                    <w:sym w:font="Wingdings" w:char="F0FC"/>
                  </w:r>
                </w:p>
              </w:tc>
              <w:tc>
                <w:tcPr>
                  <w:tcW w:w="957" w:type="dxa"/>
                </w:tcPr>
                <w:p w:rsidR="006045BC" w:rsidRDefault="006045BC" w:rsidP="006045BC">
                  <w:pPr>
                    <w:jc w:val="center"/>
                  </w:pPr>
                  <w:r w:rsidRPr="00FD10C4">
                    <w:sym w:font="Wingdings" w:char="F0FC"/>
                  </w:r>
                </w:p>
              </w:tc>
            </w:tr>
            <w:tr w:rsidR="00210566" w:rsidRPr="00A24A27" w:rsidTr="00210566">
              <w:trPr>
                <w:trHeight w:val="173"/>
                <w:jc w:val="center"/>
              </w:trPr>
              <w:tc>
                <w:tcPr>
                  <w:tcW w:w="1997"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c>
                <w:tcPr>
                  <w:tcW w:w="956"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c>
                <w:tcPr>
                  <w:tcW w:w="957"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c>
                <w:tcPr>
                  <w:tcW w:w="957"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c>
                <w:tcPr>
                  <w:tcW w:w="957" w:type="dxa"/>
                </w:tcPr>
                <w:p w:rsidR="00210566" w:rsidRPr="00A24A27" w:rsidRDefault="002105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2"/>
                    </w:rPr>
                  </w:pPr>
                </w:p>
              </w:tc>
            </w:tr>
          </w:tbl>
          <w:p w:rsidR="00236FCB" w:rsidRDefault="00236FCB">
            <w:pPr>
              <w:suppressAutoHyphens/>
              <w:jc w:val="both"/>
            </w:pPr>
          </w:p>
        </w:tc>
      </w:tr>
      <w:tr w:rsidR="00236FCB" w:rsidTr="00210566">
        <w:trPr>
          <w:trHeight w:val="9794"/>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lastRenderedPageBreak/>
              <w:t>Assessment Methods in Alignment with Intended Learning Outcomes</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jc w:val="both"/>
              <w:rPr>
                <w:sz w:val="20"/>
                <w:szCs w:val="20"/>
              </w:rPr>
            </w:pPr>
            <w:r>
              <w:t>As shown in Table 2, this is a 100% continuous assessment subject which is comprised of assignments with individual and group, mini-project, short quiz and an open-book test. All assessment components will require students to apply what they have learnt to realistic work applications.</w:t>
            </w:r>
          </w:p>
          <w:p w:rsidR="00236FCB" w:rsidRDefault="00B26CF3">
            <w:pPr>
              <w:spacing w:before="120" w:after="120"/>
              <w:jc w:val="both"/>
            </w:pPr>
            <w:r>
              <w:t xml:space="preserve">To reflect what the </w:t>
            </w:r>
            <w:proofErr w:type="gramStart"/>
            <w:r>
              <w:t>student’s</w:t>
            </w:r>
            <w:proofErr w:type="gramEnd"/>
            <w:r>
              <w:t xml:space="preserve"> learning for topics in learning outcomes (c) and (d), an individual assignment is provided which allows the students to apply the theory and concepts to address real life problems.</w:t>
            </w:r>
          </w:p>
          <w:p w:rsidR="00236FCB" w:rsidRDefault="00B26CF3">
            <w:pPr>
              <w:spacing w:before="120" w:after="120"/>
              <w:jc w:val="both"/>
            </w:pPr>
            <w:r>
              <w:t xml:space="preserve">The group assignment aims to allow the students to prepare for a proposal for the mini-project in organizations (Learning Outcome (a)) and develop their skill to formulate a plan to address the problems (Learning Outcome (d)). The short quiz aims to assess the understanding of the students for the topics in learning outcomes (a) and (b). </w:t>
            </w:r>
          </w:p>
          <w:p w:rsidR="00236FCB" w:rsidRDefault="00B26CF3">
            <w:pPr>
              <w:spacing w:before="120" w:after="120"/>
              <w:jc w:val="both"/>
            </w:pPr>
            <w:r>
              <w:t>The students are required to present the results and write a report for their mini-</w:t>
            </w:r>
            <w:proofErr w:type="gramStart"/>
            <w:r>
              <w:t>project which</w:t>
            </w:r>
            <w:proofErr w:type="gramEnd"/>
            <w:r>
              <w:t xml:space="preserve"> allow the students to integrate and apply the concept, theory, methods and approaches to innovation and entrepreneurship as strategic resources for enhancing the competitiveness for organizations. (learning outcomes (a) to (d)), </w:t>
            </w:r>
          </w:p>
          <w:p w:rsidR="00236FCB" w:rsidRDefault="00B26CF3">
            <w:pPr>
              <w:jc w:val="both"/>
            </w:pPr>
            <w:r>
              <w:t xml:space="preserve">There is an open book </w:t>
            </w:r>
            <w:proofErr w:type="gramStart"/>
            <w:r>
              <w:t>test which aims to assess the students’ capability for applying the theory and concepts learnt in the class for analyzing</w:t>
            </w:r>
            <w:proofErr w:type="gramEnd"/>
            <w:r>
              <w:t xml:space="preserve"> and solving problems related to related to the subject (learning outcomes (a) to (d)).</w:t>
            </w:r>
          </w:p>
          <w:p w:rsidR="00236FCB" w:rsidRDefault="00236FCB">
            <w:pPr>
              <w:jc w:val="both"/>
            </w:pPr>
          </w:p>
          <w:p w:rsidR="00236FCB" w:rsidRDefault="00B26CF3">
            <w:pPr>
              <w:widowControl w:val="0"/>
              <w:ind w:left="114" w:right="3154"/>
              <w:jc w:val="both"/>
              <w:rPr>
                <w:sz w:val="21"/>
                <w:szCs w:val="21"/>
              </w:rPr>
            </w:pPr>
            <w:r>
              <w:rPr>
                <w:spacing w:val="-14"/>
                <w:sz w:val="21"/>
                <w:szCs w:val="21"/>
              </w:rPr>
              <w:t>T</w:t>
            </w:r>
            <w:r w:rsidR="00210566">
              <w:rPr>
                <w:sz w:val="21"/>
                <w:szCs w:val="21"/>
              </w:rPr>
              <w:t xml:space="preserve">able2. </w:t>
            </w:r>
            <w:r>
              <w:rPr>
                <w:sz w:val="21"/>
                <w:szCs w:val="21"/>
              </w:rPr>
              <w:t xml:space="preserve"> </w:t>
            </w:r>
            <w:r w:rsidR="00210566">
              <w:rPr>
                <w:sz w:val="21"/>
                <w:szCs w:val="21"/>
              </w:rPr>
              <w:t xml:space="preserve">Assessment </w:t>
            </w:r>
          </w:p>
          <w:p w:rsidR="00A40B9A" w:rsidRDefault="00A40B9A">
            <w:pPr>
              <w:widowControl w:val="0"/>
              <w:ind w:left="114" w:right="3154"/>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76"/>
              <w:gridCol w:w="669"/>
              <w:gridCol w:w="669"/>
              <w:gridCol w:w="669"/>
              <w:gridCol w:w="669"/>
              <w:gridCol w:w="669"/>
              <w:gridCol w:w="669"/>
            </w:tblGrid>
            <w:tr w:rsidR="00A40B9A" w:rsidRPr="009459DE" w:rsidTr="007E673F">
              <w:tc>
                <w:tcPr>
                  <w:tcW w:w="2444" w:type="dxa"/>
                  <w:vMerge w:val="restart"/>
                </w:tcPr>
                <w:p w:rsidR="00A40B9A" w:rsidRPr="00743A06" w:rsidRDefault="00A40B9A" w:rsidP="007E673F">
                  <w:pPr>
                    <w:spacing w:before="120" w:after="120"/>
                  </w:pPr>
                  <w:r w:rsidRPr="00743A06">
                    <w:t xml:space="preserve">Specific assessment methods/tasks </w:t>
                  </w:r>
                </w:p>
              </w:tc>
              <w:tc>
                <w:tcPr>
                  <w:tcW w:w="1176" w:type="dxa"/>
                  <w:vMerge w:val="restart"/>
                </w:tcPr>
                <w:p w:rsidR="00A40B9A" w:rsidRPr="00743A06" w:rsidRDefault="00A40B9A" w:rsidP="007E673F">
                  <w:pPr>
                    <w:spacing w:before="120" w:after="120"/>
                    <w:jc w:val="center"/>
                  </w:pPr>
                  <w:r w:rsidRPr="00743A06">
                    <w:t>% weighting</w:t>
                  </w:r>
                </w:p>
              </w:tc>
              <w:tc>
                <w:tcPr>
                  <w:tcW w:w="4014" w:type="dxa"/>
                  <w:gridSpan w:val="6"/>
                </w:tcPr>
                <w:p w:rsidR="00A40B9A" w:rsidRPr="00743A06" w:rsidRDefault="00A40B9A" w:rsidP="007E673F">
                  <w:pPr>
                    <w:spacing w:before="120" w:after="120"/>
                  </w:pPr>
                  <w:r w:rsidRPr="00743A06">
                    <w:t>Intended subject learning outcomes to be assessed</w:t>
                  </w:r>
                </w:p>
              </w:tc>
            </w:tr>
            <w:tr w:rsidR="00A40B9A" w:rsidRPr="009459DE" w:rsidTr="007E673F">
              <w:tc>
                <w:tcPr>
                  <w:tcW w:w="2444" w:type="dxa"/>
                  <w:vMerge/>
                </w:tcPr>
                <w:p w:rsidR="00A40B9A" w:rsidRPr="00743A06" w:rsidRDefault="00A40B9A" w:rsidP="007E673F">
                  <w:pPr>
                    <w:spacing w:before="120" w:after="120"/>
                  </w:pPr>
                </w:p>
              </w:tc>
              <w:tc>
                <w:tcPr>
                  <w:tcW w:w="1176" w:type="dxa"/>
                  <w:vMerge/>
                </w:tcPr>
                <w:p w:rsidR="00A40B9A" w:rsidRPr="00743A06" w:rsidRDefault="00A40B9A" w:rsidP="007E673F">
                  <w:pPr>
                    <w:spacing w:before="120" w:after="120"/>
                  </w:pPr>
                </w:p>
              </w:tc>
              <w:tc>
                <w:tcPr>
                  <w:tcW w:w="669" w:type="dxa"/>
                  <w:shd w:val="clear" w:color="auto" w:fill="auto"/>
                </w:tcPr>
                <w:p w:rsidR="00A40B9A" w:rsidRPr="00743A06" w:rsidRDefault="00A40B9A" w:rsidP="007E673F">
                  <w:pPr>
                    <w:spacing w:before="120" w:after="120"/>
                    <w:jc w:val="center"/>
                  </w:pPr>
                  <w:r w:rsidRPr="00743A06">
                    <w:t>a</w:t>
                  </w:r>
                </w:p>
              </w:tc>
              <w:tc>
                <w:tcPr>
                  <w:tcW w:w="669" w:type="dxa"/>
                  <w:shd w:val="clear" w:color="auto" w:fill="auto"/>
                </w:tcPr>
                <w:p w:rsidR="00A40B9A" w:rsidRPr="00743A06" w:rsidRDefault="00A40B9A" w:rsidP="007E673F">
                  <w:pPr>
                    <w:spacing w:before="120" w:after="120"/>
                    <w:jc w:val="center"/>
                  </w:pPr>
                  <w:r w:rsidRPr="00743A06">
                    <w:t>b</w:t>
                  </w:r>
                </w:p>
              </w:tc>
              <w:tc>
                <w:tcPr>
                  <w:tcW w:w="669" w:type="dxa"/>
                  <w:shd w:val="clear" w:color="auto" w:fill="auto"/>
                </w:tcPr>
                <w:p w:rsidR="00A40B9A" w:rsidRPr="00743A06" w:rsidRDefault="00A40B9A" w:rsidP="007E673F">
                  <w:pPr>
                    <w:spacing w:before="120" w:after="120"/>
                    <w:jc w:val="center"/>
                  </w:pPr>
                  <w:r w:rsidRPr="00743A06">
                    <w:t>c</w:t>
                  </w:r>
                </w:p>
              </w:tc>
              <w:tc>
                <w:tcPr>
                  <w:tcW w:w="669" w:type="dxa"/>
                  <w:shd w:val="clear" w:color="auto" w:fill="auto"/>
                </w:tcPr>
                <w:p w:rsidR="00A40B9A" w:rsidRPr="00743A06" w:rsidRDefault="00A40B9A" w:rsidP="007E673F">
                  <w:pPr>
                    <w:spacing w:before="120" w:after="120"/>
                    <w:jc w:val="center"/>
                  </w:pPr>
                  <w:r>
                    <w:t>d</w:t>
                  </w:r>
                </w:p>
              </w:tc>
              <w:tc>
                <w:tcPr>
                  <w:tcW w:w="669" w:type="dxa"/>
                  <w:shd w:val="clear" w:color="auto" w:fill="auto"/>
                </w:tcPr>
                <w:p w:rsidR="00A40B9A" w:rsidRPr="009459DE" w:rsidRDefault="00A40B9A" w:rsidP="007E673F">
                  <w:pPr>
                    <w:spacing w:before="120" w:after="120"/>
                    <w:jc w:val="center"/>
                    <w:rPr>
                      <w:sz w:val="22"/>
                      <w:szCs w:val="22"/>
                    </w:rPr>
                  </w:pPr>
                </w:p>
              </w:tc>
              <w:tc>
                <w:tcPr>
                  <w:tcW w:w="669" w:type="dxa"/>
                  <w:shd w:val="clear" w:color="auto" w:fill="auto"/>
                </w:tcPr>
                <w:p w:rsidR="00A40B9A" w:rsidRPr="009459DE" w:rsidRDefault="00A40B9A" w:rsidP="007E673F">
                  <w:pPr>
                    <w:spacing w:before="120" w:after="120"/>
                    <w:jc w:val="center"/>
                    <w:rPr>
                      <w:sz w:val="22"/>
                      <w:szCs w:val="22"/>
                    </w:rPr>
                  </w:pPr>
                </w:p>
              </w:tc>
            </w:tr>
            <w:tr w:rsidR="00A40B9A" w:rsidRPr="009459DE" w:rsidTr="007E673F">
              <w:tc>
                <w:tcPr>
                  <w:tcW w:w="2444" w:type="dxa"/>
                </w:tcPr>
                <w:p w:rsidR="00A40B9A" w:rsidRPr="00743A06" w:rsidRDefault="00A40B9A" w:rsidP="00A40B9A">
                  <w:pPr>
                    <w:spacing w:before="120" w:after="120"/>
                    <w:ind w:left="229" w:hanging="229"/>
                  </w:pPr>
                  <w:r w:rsidRPr="00743A06">
                    <w:t xml:space="preserve">1. Group </w:t>
                  </w:r>
                  <w:r>
                    <w:t>Projects</w:t>
                  </w:r>
                  <w:r w:rsidRPr="00743A06">
                    <w:t xml:space="preserve"> </w:t>
                  </w:r>
                </w:p>
              </w:tc>
              <w:tc>
                <w:tcPr>
                  <w:tcW w:w="1176" w:type="dxa"/>
                </w:tcPr>
                <w:p w:rsidR="00A40B9A" w:rsidRPr="00743A06" w:rsidRDefault="00A40B9A" w:rsidP="007E673F">
                  <w:pPr>
                    <w:spacing w:before="120" w:after="120"/>
                    <w:jc w:val="center"/>
                  </w:pPr>
                  <w:r>
                    <w:t>25</w:t>
                  </w:r>
                  <w:r>
                    <w:rPr>
                      <w:rFonts w:hint="eastAsia"/>
                    </w:rPr>
                    <w:t xml:space="preserve"> </w:t>
                  </w:r>
                  <w:r w:rsidRPr="00743A06">
                    <w:t>%</w:t>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r w:rsidR="00A40B9A" w:rsidRPr="009459DE" w:rsidTr="007E673F">
              <w:tc>
                <w:tcPr>
                  <w:tcW w:w="2444" w:type="dxa"/>
                </w:tcPr>
                <w:p w:rsidR="00A40B9A" w:rsidRPr="00743A06" w:rsidRDefault="00A40B9A" w:rsidP="00A40B9A">
                  <w:pPr>
                    <w:pStyle w:val="ListParagraph"/>
                    <w:numPr>
                      <w:ilvl w:val="0"/>
                      <w:numId w:val="1"/>
                    </w:numPr>
                    <w:tabs>
                      <w:tab w:val="left" w:pos="229"/>
                    </w:tabs>
                    <w:spacing w:before="120" w:after="120"/>
                  </w:pPr>
                  <w:r>
                    <w:t>Presentation</w:t>
                  </w:r>
                </w:p>
              </w:tc>
              <w:tc>
                <w:tcPr>
                  <w:tcW w:w="1176" w:type="dxa"/>
                </w:tcPr>
                <w:p w:rsidR="00A40B9A" w:rsidRPr="00A40B9A" w:rsidRDefault="00A40B9A" w:rsidP="007E673F">
                  <w:pPr>
                    <w:spacing w:before="120" w:after="120"/>
                    <w:jc w:val="center"/>
                  </w:pPr>
                  <w:r>
                    <w:t>10%</w:t>
                  </w: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r w:rsidR="00A40B9A" w:rsidRPr="009459DE" w:rsidTr="007E673F">
              <w:tc>
                <w:tcPr>
                  <w:tcW w:w="2444" w:type="dxa"/>
                </w:tcPr>
                <w:p w:rsidR="00A40B9A" w:rsidRPr="00743A06" w:rsidRDefault="00A40B9A" w:rsidP="00520338">
                  <w:pPr>
                    <w:tabs>
                      <w:tab w:val="left" w:pos="229"/>
                    </w:tabs>
                    <w:spacing w:before="120" w:after="120"/>
                    <w:ind w:left="229" w:hanging="229"/>
                  </w:pPr>
                  <w:r>
                    <w:t>3</w:t>
                  </w:r>
                  <w:r w:rsidRPr="00743A06">
                    <w:t>. Individual assignment</w:t>
                  </w:r>
                  <w:r>
                    <w:t>s</w:t>
                  </w:r>
                </w:p>
              </w:tc>
              <w:tc>
                <w:tcPr>
                  <w:tcW w:w="1176" w:type="dxa"/>
                </w:tcPr>
                <w:p w:rsidR="00A40B9A" w:rsidRPr="00A40B9A" w:rsidRDefault="00A40B9A" w:rsidP="00520338">
                  <w:pPr>
                    <w:spacing w:before="120" w:after="120"/>
                    <w:jc w:val="center"/>
                  </w:pPr>
                  <w:r w:rsidRPr="00A40B9A">
                    <w:t>25</w:t>
                  </w:r>
                  <w:r w:rsidRPr="00A40B9A">
                    <w:rPr>
                      <w:rFonts w:hint="eastAsia"/>
                    </w:rPr>
                    <w:t xml:space="preserve"> </w:t>
                  </w:r>
                  <w:r w:rsidRPr="00A40B9A">
                    <w:t>%</w:t>
                  </w:r>
                </w:p>
              </w:tc>
              <w:tc>
                <w:tcPr>
                  <w:tcW w:w="669" w:type="dxa"/>
                  <w:shd w:val="clear" w:color="auto" w:fill="auto"/>
                  <w:vAlign w:val="center"/>
                </w:tcPr>
                <w:p w:rsidR="00A40B9A" w:rsidRPr="00743A06" w:rsidRDefault="00A40B9A" w:rsidP="00520338">
                  <w:pPr>
                    <w:spacing w:before="120" w:after="120"/>
                    <w:jc w:val="center"/>
                  </w:pPr>
                </w:p>
              </w:tc>
              <w:tc>
                <w:tcPr>
                  <w:tcW w:w="669" w:type="dxa"/>
                  <w:shd w:val="clear" w:color="auto" w:fill="auto"/>
                  <w:vAlign w:val="center"/>
                </w:tcPr>
                <w:p w:rsidR="00A40B9A" w:rsidRPr="00743A06" w:rsidRDefault="00A40B9A" w:rsidP="00520338">
                  <w:pPr>
                    <w:spacing w:before="120" w:after="120"/>
                    <w:jc w:val="center"/>
                  </w:pPr>
                </w:p>
              </w:tc>
              <w:tc>
                <w:tcPr>
                  <w:tcW w:w="669" w:type="dxa"/>
                  <w:shd w:val="clear" w:color="auto" w:fill="auto"/>
                  <w:vAlign w:val="center"/>
                </w:tcPr>
                <w:p w:rsidR="00A40B9A" w:rsidRPr="00743A06" w:rsidRDefault="00A40B9A" w:rsidP="00520338">
                  <w:pPr>
                    <w:spacing w:before="120" w:after="120"/>
                    <w:jc w:val="center"/>
                  </w:pPr>
                  <w:r w:rsidRPr="00743A06">
                    <w:sym w:font="Wingdings" w:char="F0FC"/>
                  </w:r>
                </w:p>
              </w:tc>
              <w:tc>
                <w:tcPr>
                  <w:tcW w:w="669" w:type="dxa"/>
                  <w:shd w:val="clear" w:color="auto" w:fill="auto"/>
                  <w:vAlign w:val="center"/>
                </w:tcPr>
                <w:p w:rsidR="00A40B9A" w:rsidRPr="00743A06" w:rsidRDefault="00A40B9A" w:rsidP="00520338">
                  <w:pPr>
                    <w:spacing w:before="120" w:after="120"/>
                    <w:jc w:val="center"/>
                  </w:pPr>
                  <w:r w:rsidRPr="00743A06">
                    <w:sym w:font="Wingdings" w:char="F0FC"/>
                  </w: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r w:rsidR="00A40B9A" w:rsidRPr="009459DE" w:rsidTr="007E673F">
              <w:tc>
                <w:tcPr>
                  <w:tcW w:w="2444" w:type="dxa"/>
                </w:tcPr>
                <w:p w:rsidR="00A40B9A" w:rsidRPr="00743A06" w:rsidRDefault="00773A78" w:rsidP="00773A78">
                  <w:pPr>
                    <w:pStyle w:val="ListParagraph"/>
                    <w:numPr>
                      <w:ilvl w:val="0"/>
                      <w:numId w:val="1"/>
                    </w:numPr>
                    <w:tabs>
                      <w:tab w:val="left" w:pos="229"/>
                    </w:tabs>
                    <w:spacing w:before="120" w:after="120"/>
                  </w:pPr>
                  <w:r>
                    <w:t>In-class activities</w:t>
                  </w:r>
                </w:p>
              </w:tc>
              <w:tc>
                <w:tcPr>
                  <w:tcW w:w="1176" w:type="dxa"/>
                </w:tcPr>
                <w:p w:rsidR="00A40B9A" w:rsidRPr="00A40B9A" w:rsidRDefault="00A40B9A" w:rsidP="007E673F">
                  <w:pPr>
                    <w:spacing w:before="120" w:after="120"/>
                    <w:jc w:val="center"/>
                  </w:pPr>
                  <w:r w:rsidRPr="00A40B9A">
                    <w:t>15</w:t>
                  </w:r>
                  <w:r w:rsidRPr="00A40B9A">
                    <w:rPr>
                      <w:rFonts w:hint="eastAsia"/>
                    </w:rPr>
                    <w:t xml:space="preserve"> </w:t>
                  </w:r>
                  <w:r w:rsidRPr="00A40B9A">
                    <w:t>%</w:t>
                  </w:r>
                </w:p>
              </w:tc>
              <w:tc>
                <w:tcPr>
                  <w:tcW w:w="669" w:type="dxa"/>
                  <w:shd w:val="clear" w:color="auto" w:fill="auto"/>
                  <w:vAlign w:val="center"/>
                </w:tcPr>
                <w:p w:rsidR="00A40B9A" w:rsidRPr="00743A06" w:rsidRDefault="00A40B9A" w:rsidP="00865766">
                  <w:pPr>
                    <w:spacing w:before="120" w:after="120"/>
                    <w:jc w:val="center"/>
                  </w:pPr>
                  <w:r w:rsidRPr="00743A06">
                    <w:sym w:font="Wingdings" w:char="F0FC"/>
                  </w:r>
                </w:p>
              </w:tc>
              <w:tc>
                <w:tcPr>
                  <w:tcW w:w="669" w:type="dxa"/>
                  <w:shd w:val="clear" w:color="auto" w:fill="auto"/>
                  <w:vAlign w:val="center"/>
                </w:tcPr>
                <w:p w:rsidR="00A40B9A" w:rsidRPr="00743A06" w:rsidRDefault="00A40B9A" w:rsidP="00865766">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r w:rsidR="00A40B9A" w:rsidRPr="009459DE" w:rsidTr="007E673F">
              <w:tc>
                <w:tcPr>
                  <w:tcW w:w="2444" w:type="dxa"/>
                </w:tcPr>
                <w:p w:rsidR="00A40B9A" w:rsidRPr="00743A06" w:rsidRDefault="00A40B9A" w:rsidP="00A40B9A">
                  <w:pPr>
                    <w:spacing w:before="120" w:after="120"/>
                  </w:pPr>
                  <w:r>
                    <w:t>5</w:t>
                  </w:r>
                  <w:r w:rsidRPr="00743A06">
                    <w:t xml:space="preserve">. </w:t>
                  </w:r>
                  <w:r>
                    <w:t>open-book test</w:t>
                  </w:r>
                </w:p>
              </w:tc>
              <w:tc>
                <w:tcPr>
                  <w:tcW w:w="1176" w:type="dxa"/>
                </w:tcPr>
                <w:p w:rsidR="00A40B9A" w:rsidRPr="00743A06" w:rsidRDefault="00A40B9A" w:rsidP="007E673F">
                  <w:pPr>
                    <w:spacing w:before="120" w:after="120"/>
                    <w:jc w:val="center"/>
                  </w:pPr>
                  <w:r>
                    <w:t>25</w:t>
                  </w:r>
                  <w:r>
                    <w:rPr>
                      <w:rFonts w:hint="eastAsia"/>
                    </w:rPr>
                    <w:t xml:space="preserve"> </w:t>
                  </w:r>
                  <w:r w:rsidRPr="00743A06">
                    <w:t>%</w:t>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r w:rsidRPr="00743A06">
                    <w:sym w:font="Wingdings" w:char="F0FC"/>
                  </w:r>
                </w:p>
              </w:tc>
              <w:tc>
                <w:tcPr>
                  <w:tcW w:w="669" w:type="dxa"/>
                  <w:shd w:val="clear" w:color="auto" w:fill="auto"/>
                  <w:vAlign w:val="center"/>
                </w:tcPr>
                <w:p w:rsidR="00A40B9A" w:rsidRPr="00743A06" w:rsidRDefault="00A40B9A" w:rsidP="007E673F">
                  <w:pPr>
                    <w:spacing w:before="120" w:after="120"/>
                    <w:jc w:val="center"/>
                  </w:pP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r w:rsidR="00A40B9A" w:rsidRPr="009459DE" w:rsidTr="007E673F">
              <w:tc>
                <w:tcPr>
                  <w:tcW w:w="2444" w:type="dxa"/>
                </w:tcPr>
                <w:p w:rsidR="00A40B9A" w:rsidRPr="00743A06" w:rsidRDefault="00A40B9A" w:rsidP="007E673F">
                  <w:pPr>
                    <w:spacing w:before="120" w:after="120"/>
                  </w:pPr>
                  <w:r w:rsidRPr="00743A06">
                    <w:t>Total</w:t>
                  </w:r>
                </w:p>
              </w:tc>
              <w:tc>
                <w:tcPr>
                  <w:tcW w:w="1176" w:type="dxa"/>
                </w:tcPr>
                <w:p w:rsidR="00A40B9A" w:rsidRPr="00743A06" w:rsidRDefault="00A40B9A" w:rsidP="007E673F">
                  <w:pPr>
                    <w:spacing w:before="120" w:after="120"/>
                    <w:jc w:val="center"/>
                  </w:pPr>
                  <w:r w:rsidRPr="00743A06">
                    <w:t>100%</w:t>
                  </w:r>
                </w:p>
              </w:tc>
              <w:tc>
                <w:tcPr>
                  <w:tcW w:w="669" w:type="dxa"/>
                  <w:shd w:val="clear" w:color="auto" w:fill="auto"/>
                </w:tcPr>
                <w:p w:rsidR="00A40B9A" w:rsidRPr="00743A06" w:rsidRDefault="00A40B9A" w:rsidP="007E673F">
                  <w:pPr>
                    <w:spacing w:before="120" w:after="120"/>
                  </w:pPr>
                </w:p>
              </w:tc>
              <w:tc>
                <w:tcPr>
                  <w:tcW w:w="669" w:type="dxa"/>
                  <w:shd w:val="clear" w:color="auto" w:fill="auto"/>
                </w:tcPr>
                <w:p w:rsidR="00A40B9A" w:rsidRPr="00743A06" w:rsidRDefault="00A40B9A" w:rsidP="007E673F">
                  <w:pPr>
                    <w:spacing w:before="120" w:after="120"/>
                  </w:pPr>
                </w:p>
              </w:tc>
              <w:tc>
                <w:tcPr>
                  <w:tcW w:w="669" w:type="dxa"/>
                  <w:shd w:val="clear" w:color="auto" w:fill="auto"/>
                </w:tcPr>
                <w:p w:rsidR="00A40B9A" w:rsidRPr="00743A06" w:rsidRDefault="00A40B9A" w:rsidP="007E673F">
                  <w:pPr>
                    <w:spacing w:before="120" w:after="120"/>
                  </w:pPr>
                </w:p>
              </w:tc>
              <w:tc>
                <w:tcPr>
                  <w:tcW w:w="669" w:type="dxa"/>
                  <w:shd w:val="clear" w:color="auto" w:fill="auto"/>
                </w:tcPr>
                <w:p w:rsidR="00A40B9A" w:rsidRPr="00743A06" w:rsidRDefault="00A40B9A" w:rsidP="007E673F">
                  <w:pPr>
                    <w:spacing w:before="120" w:after="120"/>
                  </w:pPr>
                </w:p>
              </w:tc>
              <w:tc>
                <w:tcPr>
                  <w:tcW w:w="669" w:type="dxa"/>
                  <w:shd w:val="clear" w:color="auto" w:fill="auto"/>
                </w:tcPr>
                <w:p w:rsidR="00A40B9A" w:rsidRPr="009459DE" w:rsidRDefault="00A40B9A" w:rsidP="007E673F">
                  <w:pPr>
                    <w:spacing w:before="120" w:after="120"/>
                    <w:rPr>
                      <w:sz w:val="22"/>
                      <w:szCs w:val="22"/>
                    </w:rPr>
                  </w:pPr>
                </w:p>
              </w:tc>
              <w:tc>
                <w:tcPr>
                  <w:tcW w:w="669" w:type="dxa"/>
                  <w:shd w:val="clear" w:color="auto" w:fill="auto"/>
                </w:tcPr>
                <w:p w:rsidR="00A40B9A" w:rsidRPr="009459DE" w:rsidRDefault="00A40B9A" w:rsidP="007E673F">
                  <w:pPr>
                    <w:spacing w:before="120" w:after="120"/>
                    <w:rPr>
                      <w:sz w:val="22"/>
                      <w:szCs w:val="22"/>
                    </w:rPr>
                  </w:pPr>
                </w:p>
              </w:tc>
            </w:tr>
          </w:tbl>
          <w:p w:rsidR="00A40B9A" w:rsidRDefault="00A40B9A">
            <w:pPr>
              <w:widowControl w:val="0"/>
              <w:ind w:left="114" w:right="3154"/>
              <w:jc w:val="both"/>
              <w:rPr>
                <w:sz w:val="21"/>
                <w:szCs w:val="21"/>
              </w:rPr>
            </w:pPr>
          </w:p>
          <w:p w:rsidR="00236FCB" w:rsidRDefault="00236FCB">
            <w:pPr>
              <w:jc w:val="both"/>
            </w:pPr>
          </w:p>
        </w:tc>
      </w:tr>
      <w:tr w:rsidR="00236FCB" w:rsidTr="00210566">
        <w:trPr>
          <w:trHeight w:val="212"/>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t xml:space="preserve">Student Study Effort Required </w:t>
            </w:r>
            <w:r>
              <w:rPr>
                <w:rFonts w:ascii="Arial Unicode MS" w:hAnsi="Arial Unicode MS"/>
              </w:rPr>
              <w:br/>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spacing w:before="120" w:after="120"/>
            </w:pPr>
            <w:r>
              <w:rPr>
                <w:sz w:val="22"/>
                <w:szCs w:val="22"/>
              </w:rPr>
              <w:t>Class contact:</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236FCB"/>
        </w:tc>
      </w:tr>
      <w:tr w:rsidR="00236FCB" w:rsidTr="00210566">
        <w:trPr>
          <w:trHeight w:val="211"/>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numPr>
                <w:ilvl w:val="0"/>
                <w:numId w:val="4"/>
              </w:numPr>
              <w:spacing w:before="120" w:after="120"/>
              <w:rPr>
                <w:sz w:val="22"/>
                <w:szCs w:val="22"/>
              </w:rPr>
            </w:pPr>
            <w:r>
              <w:rPr>
                <w:sz w:val="22"/>
                <w:szCs w:val="22"/>
              </w:rPr>
              <w:t>Lectures</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B26CF3">
            <w:pPr>
              <w:spacing w:before="120" w:after="120"/>
              <w:ind w:right="132"/>
              <w:jc w:val="right"/>
            </w:pPr>
            <w:r>
              <w:rPr>
                <w:sz w:val="22"/>
                <w:szCs w:val="22"/>
              </w:rPr>
              <w:t>26 Hrs.</w:t>
            </w:r>
          </w:p>
        </w:tc>
      </w:tr>
      <w:tr w:rsidR="00236FCB" w:rsidTr="00210566">
        <w:trPr>
          <w:trHeight w:val="211"/>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numPr>
                <w:ilvl w:val="0"/>
                <w:numId w:val="5"/>
              </w:numPr>
              <w:spacing w:before="120" w:after="120"/>
              <w:rPr>
                <w:sz w:val="22"/>
                <w:szCs w:val="22"/>
              </w:rPr>
            </w:pPr>
            <w:r>
              <w:rPr>
                <w:sz w:val="22"/>
                <w:szCs w:val="22"/>
              </w:rPr>
              <w:t>In-class activities/Tutorial/ Laboratory</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B26CF3">
            <w:pPr>
              <w:spacing w:before="120" w:after="120"/>
              <w:ind w:right="132"/>
              <w:jc w:val="right"/>
            </w:pPr>
            <w:r>
              <w:rPr>
                <w:sz w:val="22"/>
                <w:szCs w:val="22"/>
              </w:rPr>
              <w:t>13 Hrs.</w:t>
            </w:r>
          </w:p>
        </w:tc>
      </w:tr>
      <w:tr w:rsidR="00236FCB" w:rsidTr="00210566">
        <w:trPr>
          <w:trHeight w:val="211"/>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spacing w:before="120" w:after="120"/>
            </w:pPr>
            <w:r>
              <w:rPr>
                <w:sz w:val="22"/>
                <w:szCs w:val="22"/>
              </w:rPr>
              <w:t>Other student study effort:</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236FCB"/>
        </w:tc>
      </w:tr>
      <w:tr w:rsidR="00236FCB" w:rsidTr="00210566">
        <w:trPr>
          <w:trHeight w:val="405"/>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3A7811">
            <w:pPr>
              <w:numPr>
                <w:ilvl w:val="0"/>
                <w:numId w:val="6"/>
              </w:numPr>
              <w:spacing w:before="120" w:after="120"/>
              <w:rPr>
                <w:sz w:val="22"/>
                <w:szCs w:val="22"/>
              </w:rPr>
            </w:pPr>
            <w:r>
              <w:rPr>
                <w:sz w:val="22"/>
                <w:szCs w:val="22"/>
              </w:rPr>
              <w:t>Study and self-</w:t>
            </w:r>
            <w:r w:rsidR="00B26CF3">
              <w:rPr>
                <w:sz w:val="22"/>
                <w:szCs w:val="22"/>
              </w:rPr>
              <w:t>learning including mini-project             and preparation for mini-project presentation</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B26CF3">
            <w:pPr>
              <w:spacing w:before="120" w:after="120"/>
              <w:ind w:right="132"/>
              <w:jc w:val="right"/>
            </w:pPr>
            <w:r>
              <w:rPr>
                <w:sz w:val="22"/>
                <w:szCs w:val="22"/>
              </w:rPr>
              <w:t>38 Hrs.</w:t>
            </w:r>
          </w:p>
        </w:tc>
      </w:tr>
      <w:tr w:rsidR="00236FCB" w:rsidTr="00210566">
        <w:trPr>
          <w:trHeight w:val="211"/>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numPr>
                <w:ilvl w:val="0"/>
                <w:numId w:val="7"/>
              </w:numPr>
              <w:spacing w:before="120" w:after="120"/>
              <w:rPr>
                <w:sz w:val="22"/>
                <w:szCs w:val="22"/>
              </w:rPr>
            </w:pPr>
            <w:r>
              <w:rPr>
                <w:sz w:val="22"/>
                <w:szCs w:val="22"/>
              </w:rPr>
              <w:t>Assignment and report writing</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7E38D1">
            <w:pPr>
              <w:spacing w:before="120" w:after="120"/>
              <w:ind w:right="132"/>
              <w:jc w:val="right"/>
            </w:pPr>
            <w:r>
              <w:rPr>
                <w:sz w:val="22"/>
                <w:szCs w:val="22"/>
              </w:rPr>
              <w:t>30</w:t>
            </w:r>
            <w:r w:rsidR="00B26CF3">
              <w:rPr>
                <w:sz w:val="22"/>
                <w:szCs w:val="22"/>
              </w:rPr>
              <w:t xml:space="preserve"> Hrs.</w:t>
            </w:r>
          </w:p>
        </w:tc>
      </w:tr>
      <w:tr w:rsidR="00236FCB" w:rsidTr="00210566">
        <w:trPr>
          <w:trHeight w:val="211"/>
        </w:trPr>
        <w:tc>
          <w:tcPr>
            <w:tcW w:w="2177" w:type="dxa"/>
            <w:vMerge/>
            <w:tcBorders>
              <w:top w:val="single" w:sz="4" w:space="0" w:color="000000"/>
              <w:left w:val="single" w:sz="4" w:space="0" w:color="000000"/>
              <w:bottom w:val="single" w:sz="4" w:space="0" w:color="000000"/>
              <w:right w:val="single" w:sz="4" w:space="0" w:color="000000"/>
            </w:tcBorders>
            <w:shd w:val="clear" w:color="auto" w:fill="auto"/>
          </w:tcPr>
          <w:p w:rsidR="00236FCB" w:rsidRDefault="00236FCB"/>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CB" w:rsidRDefault="00B26CF3">
            <w:pPr>
              <w:spacing w:before="120" w:after="120"/>
            </w:pPr>
            <w:r>
              <w:rPr>
                <w:sz w:val="22"/>
                <w:szCs w:val="22"/>
              </w:rPr>
              <w:t xml:space="preserve">Total student study effort </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236FCB" w:rsidRDefault="00B26CF3">
            <w:pPr>
              <w:spacing w:before="120" w:after="120"/>
              <w:ind w:right="132"/>
              <w:jc w:val="right"/>
            </w:pPr>
            <w:r>
              <w:rPr>
                <w:sz w:val="22"/>
                <w:szCs w:val="22"/>
              </w:rPr>
              <w:t>10</w:t>
            </w:r>
            <w:r w:rsidR="007E38D1">
              <w:rPr>
                <w:sz w:val="22"/>
                <w:szCs w:val="22"/>
              </w:rPr>
              <w:t>7</w:t>
            </w:r>
            <w:r>
              <w:rPr>
                <w:sz w:val="22"/>
                <w:szCs w:val="22"/>
              </w:rPr>
              <w:t xml:space="preserve"> Hrs.</w:t>
            </w:r>
          </w:p>
        </w:tc>
      </w:tr>
      <w:tr w:rsidR="00236FCB" w:rsidTr="00210566">
        <w:trPr>
          <w:trHeight w:val="1230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Default="00B26CF3">
            <w:pPr>
              <w:spacing w:before="120" w:after="120"/>
            </w:pPr>
            <w:r>
              <w:rPr>
                <w:b/>
                <w:bCs/>
              </w:rPr>
              <w:lastRenderedPageBreak/>
              <w:t>Reading List and References</w:t>
            </w:r>
          </w:p>
        </w:tc>
        <w:tc>
          <w:tcPr>
            <w:tcW w:w="8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b/>
                <w:color w:val="454545"/>
                <w:sz w:val="24"/>
                <w:szCs w:val="24"/>
                <w:u w:val="single"/>
              </w:rPr>
            </w:pPr>
            <w:r w:rsidRPr="00210566">
              <w:rPr>
                <w:rFonts w:ascii="Times New Roman" w:hAnsi="Times New Roman" w:cs="Times New Roman"/>
                <w:b/>
                <w:color w:val="454545"/>
                <w:sz w:val="24"/>
                <w:szCs w:val="24"/>
                <w:u w:val="single"/>
                <w:lang w:val="de-DE"/>
              </w:rPr>
              <w:t>Textbooks-</w:t>
            </w:r>
          </w:p>
          <w:p w:rsidR="00236FCB" w:rsidRPr="00210566" w:rsidRDefault="00236FC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roofErr w:type="gramStart"/>
            <w:r w:rsidRPr="00210566">
              <w:rPr>
                <w:rFonts w:ascii="Times New Roman" w:hAnsi="Times New Roman" w:cs="Times New Roman"/>
                <w:color w:val="454545"/>
                <w:sz w:val="24"/>
                <w:szCs w:val="24"/>
                <w:lang w:val="en-US"/>
              </w:rPr>
              <w:t>1.Otto</w:t>
            </w:r>
            <w:proofErr w:type="gramEnd"/>
            <w:r w:rsidRPr="00210566">
              <w:rPr>
                <w:rFonts w:ascii="Times New Roman" w:hAnsi="Times New Roman" w:cs="Times New Roman"/>
                <w:color w:val="454545"/>
                <w:sz w:val="24"/>
                <w:szCs w:val="24"/>
                <w:lang w:val="en-US"/>
              </w:rPr>
              <w:t xml:space="preserve"> C </w:t>
            </w:r>
            <w:proofErr w:type="spellStart"/>
            <w:r w:rsidRPr="00210566">
              <w:rPr>
                <w:rFonts w:ascii="Times New Roman" w:hAnsi="Times New Roman" w:cs="Times New Roman"/>
                <w:color w:val="454545"/>
                <w:sz w:val="24"/>
                <w:szCs w:val="24"/>
                <w:lang w:val="en-US"/>
              </w:rPr>
              <w:t>C</w:t>
            </w:r>
            <w:proofErr w:type="spellEnd"/>
            <w:r w:rsidRPr="00210566">
              <w:rPr>
                <w:rFonts w:ascii="Times New Roman" w:hAnsi="Times New Roman" w:cs="Times New Roman"/>
                <w:color w:val="454545"/>
                <w:sz w:val="24"/>
                <w:szCs w:val="24"/>
                <w:lang w:val="en-US"/>
              </w:rPr>
              <w:t xml:space="preserve"> Lin, " Innovation and Entrepreneurship: Choice and Challenge". World Scientific Publishers, February, 2018 (in press)</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sidRPr="00210566">
              <w:rPr>
                <w:rFonts w:ascii="Times New Roman" w:hAnsi="Times New Roman" w:cs="Times New Roman"/>
                <w:color w:val="454545"/>
                <w:sz w:val="24"/>
                <w:szCs w:val="24"/>
                <w:lang w:val="en-US"/>
              </w:rPr>
              <w:t>2. Frederick Betz, "Managing Technology Innovation: Competitive Advantage from Change,</w:t>
            </w:r>
            <w:proofErr w:type="gramStart"/>
            <w:r w:rsidRPr="00210566">
              <w:rPr>
                <w:rFonts w:ascii="Times New Roman" w:hAnsi="Times New Roman" w:cs="Times New Roman"/>
                <w:color w:val="454545"/>
                <w:sz w:val="24"/>
                <w:szCs w:val="24"/>
                <w:lang w:val="en-US"/>
              </w:rPr>
              <w:t>".</w:t>
            </w:r>
            <w:proofErr w:type="gramEnd"/>
            <w:r w:rsidRPr="00210566">
              <w:rPr>
                <w:rFonts w:ascii="Times New Roman" w:hAnsi="Times New Roman" w:cs="Times New Roman"/>
                <w:color w:val="454545"/>
                <w:sz w:val="24"/>
                <w:szCs w:val="24"/>
                <w:lang w:val="en-US"/>
              </w:rPr>
              <w:t xml:space="preserve"> John Wiley and Sons</w:t>
            </w:r>
            <w:proofErr w:type="gramStart"/>
            <w:r w:rsidRPr="00210566">
              <w:rPr>
                <w:rFonts w:ascii="Times New Roman" w:hAnsi="Times New Roman" w:cs="Times New Roman"/>
                <w:color w:val="454545"/>
                <w:sz w:val="24"/>
                <w:szCs w:val="24"/>
                <w:lang w:val="en-US"/>
              </w:rPr>
              <w:t>,  2nd</w:t>
            </w:r>
            <w:proofErr w:type="gramEnd"/>
            <w:r w:rsidRPr="00210566">
              <w:rPr>
                <w:rFonts w:ascii="Times New Roman" w:hAnsi="Times New Roman" w:cs="Times New Roman"/>
                <w:color w:val="454545"/>
                <w:sz w:val="24"/>
                <w:szCs w:val="24"/>
                <w:lang w:val="en-US"/>
              </w:rPr>
              <w:t xml:space="preserve"> Edition, 2003.</w:t>
            </w:r>
          </w:p>
          <w:p w:rsidR="00236FCB" w:rsidRPr="00210566" w:rsidRDefault="00236FC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b/>
                <w:color w:val="454545"/>
                <w:sz w:val="24"/>
                <w:szCs w:val="24"/>
                <w:u w:val="single"/>
              </w:rPr>
            </w:pPr>
            <w:r w:rsidRPr="00210566">
              <w:rPr>
                <w:rFonts w:ascii="Times New Roman" w:hAnsi="Times New Roman" w:cs="Times New Roman"/>
                <w:b/>
                <w:color w:val="454545"/>
                <w:sz w:val="24"/>
                <w:szCs w:val="24"/>
                <w:u w:val="single"/>
                <w:lang w:val="en-US"/>
              </w:rPr>
              <w:t>Reading List</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sidRPr="00210566">
              <w:rPr>
                <w:rFonts w:ascii="Times New Roman" w:hAnsi="Times New Roman" w:cs="Times New Roman"/>
                <w:color w:val="454545"/>
                <w:sz w:val="24"/>
                <w:szCs w:val="24"/>
                <w:lang w:val="en-US"/>
              </w:rPr>
              <w:t xml:space="preserve">1.Chong moon Lee, William F. </w:t>
            </w:r>
            <w:proofErr w:type="spellStart"/>
            <w:r w:rsidRPr="00210566">
              <w:rPr>
                <w:rFonts w:ascii="Times New Roman" w:hAnsi="Times New Roman" w:cs="Times New Roman"/>
                <w:color w:val="454545"/>
                <w:sz w:val="24"/>
                <w:szCs w:val="24"/>
                <w:lang w:val="en-US"/>
              </w:rPr>
              <w:t>MIller</w:t>
            </w:r>
            <w:proofErr w:type="spellEnd"/>
            <w:r w:rsidRPr="00210566">
              <w:rPr>
                <w:rFonts w:ascii="Times New Roman" w:hAnsi="Times New Roman" w:cs="Times New Roman"/>
                <w:color w:val="454545"/>
                <w:sz w:val="24"/>
                <w:szCs w:val="24"/>
                <w:lang w:val="en-US"/>
              </w:rPr>
              <w:t xml:space="preserve">, Marguerite Gong Hancock, Henry S Rowen., </w:t>
            </w:r>
            <w:r w:rsidRPr="00210566">
              <w:rPr>
                <w:rFonts w:ascii="Times New Roman" w:hAnsi="Times New Roman" w:cs="Times New Roman"/>
                <w:color w:val="454545"/>
                <w:sz w:val="24"/>
                <w:szCs w:val="24"/>
              </w:rPr>
              <w:t>“</w:t>
            </w:r>
            <w:r w:rsidRPr="00210566">
              <w:rPr>
                <w:rFonts w:ascii="Times New Roman" w:hAnsi="Times New Roman" w:cs="Times New Roman"/>
                <w:color w:val="454545"/>
                <w:sz w:val="24"/>
                <w:szCs w:val="24"/>
                <w:lang w:val="en-US"/>
              </w:rPr>
              <w:t>the Silicon Valley Edge: a Habitat for Innovation and Entrepreneurship., Stanford University Press, Stanford, 2000</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roofErr w:type="gramStart"/>
            <w:r w:rsidRPr="00210566">
              <w:rPr>
                <w:rFonts w:ascii="Times New Roman" w:hAnsi="Times New Roman" w:cs="Times New Roman"/>
                <w:color w:val="454545"/>
                <w:sz w:val="24"/>
                <w:szCs w:val="24"/>
                <w:lang w:val="en-US"/>
              </w:rPr>
              <w:t>2.Dan</w:t>
            </w:r>
            <w:proofErr w:type="gramEnd"/>
            <w:r w:rsidRPr="00210566">
              <w:rPr>
                <w:rFonts w:ascii="Times New Roman" w:hAnsi="Times New Roman" w:cs="Times New Roman"/>
                <w:color w:val="454545"/>
                <w:sz w:val="24"/>
                <w:szCs w:val="24"/>
                <w:lang w:val="en-US"/>
              </w:rPr>
              <w:t xml:space="preserve"> </w:t>
            </w:r>
            <w:proofErr w:type="spellStart"/>
            <w:r w:rsidRPr="00210566">
              <w:rPr>
                <w:rFonts w:ascii="Times New Roman" w:hAnsi="Times New Roman" w:cs="Times New Roman"/>
                <w:color w:val="454545"/>
                <w:sz w:val="24"/>
                <w:szCs w:val="24"/>
                <w:lang w:val="en-US"/>
              </w:rPr>
              <w:t>Breznits</w:t>
            </w:r>
            <w:proofErr w:type="spellEnd"/>
            <w:r w:rsidRPr="00210566">
              <w:rPr>
                <w:rFonts w:ascii="Times New Roman" w:hAnsi="Times New Roman" w:cs="Times New Roman"/>
                <w:color w:val="454545"/>
                <w:sz w:val="24"/>
                <w:szCs w:val="24"/>
                <w:lang w:val="en-US"/>
              </w:rPr>
              <w:t xml:space="preserve"> and Michael </w:t>
            </w:r>
            <w:proofErr w:type="spellStart"/>
            <w:r w:rsidRPr="00210566">
              <w:rPr>
                <w:rFonts w:ascii="Times New Roman" w:hAnsi="Times New Roman" w:cs="Times New Roman"/>
                <w:color w:val="454545"/>
                <w:sz w:val="24"/>
                <w:szCs w:val="24"/>
                <w:lang w:val="en-US"/>
              </w:rPr>
              <w:t>Murphree</w:t>
            </w:r>
            <w:proofErr w:type="spellEnd"/>
            <w:r w:rsidRPr="00210566">
              <w:rPr>
                <w:rFonts w:ascii="Times New Roman" w:hAnsi="Times New Roman" w:cs="Times New Roman"/>
                <w:color w:val="454545"/>
                <w:sz w:val="24"/>
                <w:szCs w:val="24"/>
                <w:lang w:val="en-US"/>
              </w:rPr>
              <w:t>, "Run of the Red Queen: Government, Innovation, Globalization and Economic Growth in China," Yale University Press, 2011.</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roofErr w:type="gramStart"/>
            <w:r w:rsidRPr="00210566">
              <w:rPr>
                <w:rFonts w:ascii="Times New Roman" w:hAnsi="Times New Roman" w:cs="Times New Roman"/>
                <w:color w:val="454545"/>
                <w:sz w:val="24"/>
                <w:szCs w:val="24"/>
                <w:lang w:val="en-US"/>
              </w:rPr>
              <w:t>3.Walter</w:t>
            </w:r>
            <w:proofErr w:type="gramEnd"/>
            <w:r w:rsidRPr="00210566">
              <w:rPr>
                <w:rFonts w:ascii="Times New Roman" w:hAnsi="Times New Roman" w:cs="Times New Roman"/>
                <w:color w:val="454545"/>
                <w:sz w:val="24"/>
                <w:szCs w:val="24"/>
                <w:lang w:val="en-US"/>
              </w:rPr>
              <w:t xml:space="preserve"> Isaacson, "Steve Jobs." New York, Simon and Schuyler, 2011.</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roofErr w:type="gramStart"/>
            <w:r w:rsidRPr="00210566">
              <w:rPr>
                <w:rFonts w:ascii="Times New Roman" w:hAnsi="Times New Roman" w:cs="Times New Roman"/>
                <w:color w:val="454545"/>
                <w:sz w:val="24"/>
                <w:szCs w:val="24"/>
                <w:lang w:val="en-US"/>
              </w:rPr>
              <w:t>4.David</w:t>
            </w:r>
            <w:proofErr w:type="gramEnd"/>
            <w:r w:rsidRPr="00210566">
              <w:rPr>
                <w:rFonts w:ascii="Times New Roman" w:hAnsi="Times New Roman" w:cs="Times New Roman"/>
                <w:color w:val="454545"/>
                <w:sz w:val="24"/>
                <w:szCs w:val="24"/>
                <w:lang w:val="en-US"/>
              </w:rPr>
              <w:t xml:space="preserve"> McCullough," The Wright Brothers, " New York, Simon and Schuyler, 2015.</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proofErr w:type="gramStart"/>
            <w:r w:rsidRPr="00210566">
              <w:rPr>
                <w:rFonts w:ascii="Times New Roman" w:hAnsi="Times New Roman" w:cs="Times New Roman"/>
                <w:color w:val="454545"/>
                <w:sz w:val="24"/>
                <w:szCs w:val="24"/>
                <w:lang w:val="en-US"/>
              </w:rPr>
              <w:t>5.Thomas</w:t>
            </w:r>
            <w:proofErr w:type="gramEnd"/>
            <w:r w:rsidRPr="00210566">
              <w:rPr>
                <w:rFonts w:ascii="Times New Roman" w:hAnsi="Times New Roman" w:cs="Times New Roman"/>
                <w:color w:val="454545"/>
                <w:sz w:val="24"/>
                <w:szCs w:val="24"/>
                <w:lang w:val="en-US"/>
              </w:rPr>
              <w:t xml:space="preserve"> L. Freeman, " The World is Flat: a brief history of the twenty-first century,". Farrar, Strauss and Giroux, New York, 2005.</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sidRPr="00210566">
              <w:rPr>
                <w:rFonts w:ascii="Times New Roman" w:hAnsi="Times New Roman" w:cs="Times New Roman"/>
                <w:color w:val="454545"/>
                <w:sz w:val="24"/>
                <w:szCs w:val="24"/>
                <w:lang w:val="en-US"/>
              </w:rPr>
              <w:t xml:space="preserve">6. James C Collins, " Good to Great: Some Companies make the </w:t>
            </w:r>
            <w:proofErr w:type="spellStart"/>
            <w:r w:rsidRPr="00210566">
              <w:rPr>
                <w:rFonts w:ascii="Times New Roman" w:hAnsi="Times New Roman" w:cs="Times New Roman"/>
                <w:color w:val="454545"/>
                <w:sz w:val="24"/>
                <w:szCs w:val="24"/>
                <w:lang w:val="en-US"/>
              </w:rPr>
              <w:t>leap</w:t>
            </w:r>
            <w:proofErr w:type="gramStart"/>
            <w:r w:rsidRPr="00210566">
              <w:rPr>
                <w:rFonts w:ascii="Times New Roman" w:hAnsi="Times New Roman" w:cs="Times New Roman"/>
                <w:color w:val="454545"/>
                <w:sz w:val="24"/>
                <w:szCs w:val="24"/>
                <w:lang w:val="en-US"/>
              </w:rPr>
              <w:t>..and</w:t>
            </w:r>
            <w:proofErr w:type="spellEnd"/>
            <w:proofErr w:type="gramEnd"/>
            <w:r w:rsidRPr="00210566">
              <w:rPr>
                <w:rFonts w:ascii="Times New Roman" w:hAnsi="Times New Roman" w:cs="Times New Roman"/>
                <w:color w:val="454545"/>
                <w:sz w:val="24"/>
                <w:szCs w:val="24"/>
                <w:lang w:val="en-US"/>
              </w:rPr>
              <w:t xml:space="preserve"> others don't " Harper Business, 2001.</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sidRPr="00210566">
              <w:rPr>
                <w:rFonts w:ascii="Times New Roman" w:hAnsi="Times New Roman" w:cs="Times New Roman"/>
                <w:color w:val="454545"/>
                <w:sz w:val="24"/>
                <w:szCs w:val="24"/>
                <w:lang w:val="en-US"/>
              </w:rPr>
              <w:t>7."Pearl River Delta Super zone: Tapping into world's fastest growing economy," South China Morning Post, 2003</w:t>
            </w:r>
          </w:p>
          <w:p w:rsidR="00236FCB" w:rsidRP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lang w:eastAsia="zh-CN"/>
              </w:rPr>
            </w:pPr>
            <w:r w:rsidRPr="00210566">
              <w:rPr>
                <w:rFonts w:ascii="Times New Roman" w:hAnsi="Times New Roman" w:cs="Times New Roman"/>
                <w:color w:val="454545"/>
                <w:sz w:val="24"/>
                <w:szCs w:val="24"/>
                <w:lang w:val="en-US" w:eastAsia="zh-CN"/>
              </w:rPr>
              <w:t>8.</w:t>
            </w:r>
            <w:r w:rsidRPr="00210566">
              <w:rPr>
                <w:rFonts w:ascii="Times New Roman" w:eastAsia="Arial Unicode MS" w:hAnsi="Arial Unicode MS" w:cs="Times New Roman"/>
                <w:color w:val="454545"/>
                <w:sz w:val="24"/>
                <w:szCs w:val="24"/>
                <w:lang w:val="ja-JP" w:eastAsia="ja-JP"/>
              </w:rPr>
              <w:t>林垂宙，</w:t>
            </w:r>
            <w:r w:rsidRPr="00210566">
              <w:rPr>
                <w:rFonts w:ascii="Times New Roman" w:hAnsi="Times New Roman" w:cs="Times New Roman"/>
                <w:color w:val="454545"/>
                <w:sz w:val="24"/>
                <w:szCs w:val="24"/>
                <w:lang w:eastAsia="zh-CN"/>
              </w:rPr>
              <w:t>“</w:t>
            </w:r>
            <w:r w:rsidRPr="00210566">
              <w:rPr>
                <w:rFonts w:ascii="Times New Roman" w:eastAsia="Arial Unicode MS" w:hAnsi="Arial Unicode MS" w:cs="Times New Roman"/>
                <w:color w:val="454545"/>
                <w:sz w:val="24"/>
                <w:szCs w:val="24"/>
                <w:lang w:val="zh-CN" w:eastAsia="zh-CN"/>
              </w:rPr>
              <w:t>創新四重奏：從实验室到市场</w:t>
            </w:r>
            <w:r w:rsidRPr="00210566">
              <w:rPr>
                <w:rFonts w:ascii="Times New Roman" w:hAnsi="Times New Roman" w:cs="Times New Roman"/>
                <w:color w:val="454545"/>
                <w:sz w:val="24"/>
                <w:szCs w:val="24"/>
                <w:lang w:eastAsia="zh-CN"/>
              </w:rPr>
              <w:t>”</w:t>
            </w:r>
            <w:r w:rsidRPr="00210566">
              <w:rPr>
                <w:rFonts w:ascii="Times New Roman" w:eastAsia="Arial Unicode MS" w:hAnsi="Arial Unicode MS" w:cs="Times New Roman"/>
                <w:color w:val="454545"/>
                <w:sz w:val="24"/>
                <w:szCs w:val="24"/>
                <w:lang w:val="ja-JP" w:eastAsia="ja-JP"/>
              </w:rPr>
              <w:t>，上海交通大学出版社，</w:t>
            </w:r>
            <w:r w:rsidRPr="00210566">
              <w:rPr>
                <w:rFonts w:ascii="Times New Roman" w:hAnsi="Times New Roman" w:cs="Times New Roman"/>
                <w:color w:val="454545"/>
                <w:sz w:val="24"/>
                <w:szCs w:val="24"/>
                <w:lang w:eastAsia="zh-CN"/>
              </w:rPr>
              <w:t>2014</w:t>
            </w:r>
          </w:p>
          <w:p w:rsidR="00210566" w:rsidRDefault="00B26C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sidRPr="00210566">
              <w:rPr>
                <w:rFonts w:ascii="Times New Roman" w:hAnsi="Times New Roman" w:cs="Times New Roman"/>
                <w:color w:val="454545"/>
                <w:sz w:val="24"/>
                <w:szCs w:val="24"/>
                <w:lang w:val="en-US"/>
              </w:rPr>
              <w:t>9.</w:t>
            </w:r>
            <w:r w:rsidRPr="00210566">
              <w:rPr>
                <w:rFonts w:ascii="Times New Roman" w:eastAsia="Arial Unicode MS" w:hAnsi="Arial Unicode MS" w:cs="Times New Roman"/>
                <w:color w:val="454545"/>
                <w:sz w:val="24"/>
                <w:szCs w:val="24"/>
                <w:lang w:val="zh-CN"/>
              </w:rPr>
              <w:t>吴曉波，</w:t>
            </w:r>
            <w:r w:rsidRPr="00210566">
              <w:rPr>
                <w:rFonts w:ascii="Times New Roman" w:hAnsi="Times New Roman" w:cs="Times New Roman"/>
                <w:color w:val="454545"/>
                <w:sz w:val="24"/>
                <w:szCs w:val="24"/>
              </w:rPr>
              <w:t>”</w:t>
            </w:r>
            <w:r w:rsidRPr="00210566">
              <w:rPr>
                <w:rFonts w:ascii="Times New Roman" w:eastAsia="Arial Unicode MS" w:hAnsi="Arial Unicode MS" w:cs="Times New Roman"/>
                <w:color w:val="454545"/>
                <w:sz w:val="24"/>
                <w:szCs w:val="24"/>
                <w:lang w:val="zh-CN"/>
              </w:rPr>
              <w:t>腾訉傳：</w:t>
            </w:r>
            <w:r w:rsidRPr="00210566">
              <w:rPr>
                <w:rFonts w:ascii="Times New Roman" w:hAnsi="Times New Roman" w:cs="Times New Roman"/>
                <w:color w:val="454545"/>
                <w:sz w:val="24"/>
                <w:szCs w:val="24"/>
              </w:rPr>
              <w:t>1998-2016</w:t>
            </w:r>
            <w:r w:rsidRPr="00210566">
              <w:rPr>
                <w:rFonts w:ascii="Times New Roman" w:eastAsia="Arial Unicode MS" w:hAnsi="Arial Unicode MS" w:cs="Times New Roman"/>
                <w:color w:val="454545"/>
                <w:sz w:val="24"/>
                <w:szCs w:val="24"/>
                <w:lang w:val="zh-TW"/>
              </w:rPr>
              <w:t>中國互聯網公司進化論</w:t>
            </w:r>
            <w:r w:rsidRPr="00210566">
              <w:rPr>
                <w:rFonts w:ascii="Times New Roman" w:hAnsi="Times New Roman" w:cs="Times New Roman"/>
                <w:color w:val="454545"/>
                <w:sz w:val="24"/>
                <w:szCs w:val="24"/>
                <w:lang w:val="ru-RU"/>
              </w:rPr>
              <w:t>"</w:t>
            </w:r>
            <w:r w:rsidRPr="00210566">
              <w:rPr>
                <w:rFonts w:ascii="Times New Roman" w:eastAsia="Arial Unicode MS" w:hAnsi="Arial Unicode MS" w:cs="Times New Roman"/>
                <w:color w:val="454545"/>
                <w:sz w:val="24"/>
                <w:szCs w:val="24"/>
                <w:lang w:val="zh-TW"/>
              </w:rPr>
              <w:t>，淅江大學出版社，</w:t>
            </w:r>
            <w:r w:rsidRPr="00210566">
              <w:rPr>
                <w:rFonts w:ascii="Times New Roman" w:hAnsi="Times New Roman" w:cs="Times New Roman"/>
                <w:color w:val="454545"/>
                <w:sz w:val="24"/>
                <w:szCs w:val="24"/>
              </w:rPr>
              <w:t>2016</w:t>
            </w:r>
          </w:p>
          <w:p w:rsidR="00236FCB" w:rsidRPr="00210566" w:rsidRDefault="002105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eastAsia="Helvetica" w:hAnsi="Times New Roman" w:cs="Times New Roman"/>
                <w:color w:val="454545"/>
                <w:sz w:val="24"/>
                <w:szCs w:val="24"/>
              </w:rPr>
            </w:pPr>
            <w:r>
              <w:rPr>
                <w:rFonts w:ascii="Times New Roman" w:hAnsi="Times New Roman" w:cs="Times New Roman"/>
                <w:color w:val="454545"/>
                <w:sz w:val="24"/>
                <w:szCs w:val="24"/>
                <w:lang w:val="en-US"/>
              </w:rPr>
              <w:t xml:space="preserve">10. </w:t>
            </w:r>
            <w:r w:rsidR="00B26CF3" w:rsidRPr="00210566">
              <w:rPr>
                <w:rFonts w:ascii="Times New Roman" w:hAnsi="Times New Roman" w:cs="Times New Roman"/>
                <w:color w:val="454545"/>
                <w:sz w:val="24"/>
                <w:szCs w:val="24"/>
                <w:lang w:val="en-US"/>
              </w:rPr>
              <w:t>陳偉，</w:t>
            </w:r>
            <w:r w:rsidR="00B26CF3" w:rsidRPr="00210566">
              <w:rPr>
                <w:rFonts w:ascii="Times New Roman" w:hAnsi="Times New Roman" w:cs="Times New Roman"/>
                <w:color w:val="454545"/>
                <w:sz w:val="24"/>
                <w:szCs w:val="24"/>
                <w:lang w:val="en-US"/>
              </w:rPr>
              <w:t>"</w:t>
            </w:r>
            <w:r w:rsidR="00B26CF3" w:rsidRPr="00210566">
              <w:rPr>
                <w:rFonts w:ascii="Times New Roman" w:hAnsi="Times New Roman" w:cs="Times New Roman"/>
                <w:color w:val="454545"/>
                <w:sz w:val="24"/>
                <w:szCs w:val="24"/>
                <w:lang w:val="en-US"/>
              </w:rPr>
              <w:t>這就是馬雲</w:t>
            </w:r>
            <w:r w:rsidR="00B26CF3" w:rsidRPr="00210566">
              <w:rPr>
                <w:rFonts w:ascii="Times New Roman" w:hAnsi="Times New Roman" w:cs="Times New Roman"/>
                <w:color w:val="454545"/>
                <w:sz w:val="24"/>
                <w:szCs w:val="24"/>
                <w:lang w:val="en-US"/>
              </w:rPr>
              <w:t>"</w:t>
            </w:r>
            <w:r w:rsidR="00B26CF3" w:rsidRPr="00210566">
              <w:rPr>
                <w:rFonts w:ascii="Times New Roman" w:hAnsi="Times New Roman" w:cs="Times New Roman"/>
                <w:color w:val="454545"/>
                <w:sz w:val="24"/>
                <w:szCs w:val="24"/>
                <w:lang w:val="en-US"/>
              </w:rPr>
              <w:t>浙江人民出版社，</w:t>
            </w:r>
            <w:r w:rsidR="00B26CF3" w:rsidRPr="00210566">
              <w:rPr>
                <w:rFonts w:ascii="Times New Roman" w:hAnsi="Times New Roman" w:cs="Times New Roman"/>
                <w:color w:val="454545"/>
                <w:sz w:val="24"/>
                <w:szCs w:val="24"/>
                <w:lang w:val="en-US"/>
              </w:rPr>
              <w:t>2015</w:t>
            </w:r>
          </w:p>
          <w:p w:rsidR="00236FCB" w:rsidRPr="00210566" w:rsidRDefault="002105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rPr>
                <w:rFonts w:ascii="Times New Roman" w:hAnsi="Times New Roman" w:cs="Times New Roman"/>
                <w:color w:val="454545"/>
                <w:sz w:val="24"/>
                <w:szCs w:val="24"/>
                <w:lang w:val="en-US"/>
              </w:rPr>
            </w:pPr>
            <w:r>
              <w:rPr>
                <w:rFonts w:ascii="Times New Roman" w:hAnsi="Times New Roman" w:cs="Times New Roman"/>
                <w:color w:val="454545"/>
                <w:sz w:val="24"/>
                <w:szCs w:val="24"/>
                <w:lang w:val="en-US"/>
              </w:rPr>
              <w:t xml:space="preserve">11. </w:t>
            </w:r>
            <w:r w:rsidR="00B26CF3" w:rsidRPr="00210566">
              <w:rPr>
                <w:rFonts w:ascii="Times New Roman" w:hAnsi="Times New Roman" w:cs="Times New Roman"/>
                <w:color w:val="454545"/>
                <w:sz w:val="24"/>
                <w:szCs w:val="24"/>
                <w:lang w:val="en-US"/>
              </w:rPr>
              <w:t>薛瀾、梁正、柳卸林、穆榮平等譯箸</w:t>
            </w:r>
            <w:r w:rsidR="00B26CF3" w:rsidRPr="00210566">
              <w:rPr>
                <w:rFonts w:ascii="Times New Roman" w:hAnsi="Times New Roman" w:cs="Times New Roman"/>
                <w:color w:val="454545"/>
                <w:sz w:val="24"/>
                <w:szCs w:val="24"/>
                <w:lang w:val="en-US"/>
              </w:rPr>
              <w:t>”</w:t>
            </w:r>
            <w:r w:rsidR="00B26CF3" w:rsidRPr="00210566">
              <w:rPr>
                <w:rFonts w:ascii="Times New Roman" w:hAnsi="Times New Roman" w:cs="Times New Roman"/>
                <w:color w:val="454545"/>
                <w:sz w:val="24"/>
                <w:szCs w:val="24"/>
                <w:lang w:val="en-US"/>
              </w:rPr>
              <w:t>中国創新政策研究報告</w:t>
            </w:r>
            <w:r w:rsidR="00B26CF3" w:rsidRPr="00210566">
              <w:rPr>
                <w:rFonts w:ascii="Times New Roman" w:hAnsi="Times New Roman" w:cs="Times New Roman"/>
                <w:color w:val="454545"/>
                <w:sz w:val="24"/>
                <w:szCs w:val="24"/>
                <w:lang w:val="en-US"/>
              </w:rPr>
              <w:t>”</w:t>
            </w:r>
            <w:r w:rsidR="00B26CF3" w:rsidRPr="00210566">
              <w:rPr>
                <w:rFonts w:ascii="Times New Roman" w:hAnsi="Times New Roman" w:cs="Times New Roman"/>
                <w:color w:val="454545"/>
                <w:sz w:val="24"/>
                <w:szCs w:val="24"/>
                <w:lang w:val="en-US"/>
              </w:rPr>
              <w:t>，</w:t>
            </w:r>
            <w:r w:rsidR="00B26CF3" w:rsidRPr="00210566">
              <w:rPr>
                <w:rFonts w:ascii="Times New Roman" w:hAnsi="Times New Roman" w:cs="Times New Roman"/>
                <w:color w:val="454545"/>
                <w:sz w:val="24"/>
                <w:szCs w:val="24"/>
                <w:lang w:val="en-US"/>
              </w:rPr>
              <w:t>2011.</w:t>
            </w:r>
          </w:p>
          <w:p w:rsidR="00236FCB" w:rsidRDefault="00236FC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tc>
      </w:tr>
    </w:tbl>
    <w:p w:rsidR="00236FCB" w:rsidRDefault="00236FCB" w:rsidP="00210566">
      <w:pPr>
        <w:jc w:val="both"/>
        <w:rPr>
          <w:i/>
          <w:iCs/>
          <w:sz w:val="18"/>
          <w:szCs w:val="18"/>
          <w:u w:val="single"/>
        </w:rPr>
      </w:pPr>
    </w:p>
    <w:sectPr w:rsidR="00236FCB" w:rsidSect="00236FCB">
      <w:footerReference w:type="default" r:id="rId8"/>
      <w:pgSz w:w="11900" w:h="16840"/>
      <w:pgMar w:top="1134" w:right="862" w:bottom="851"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31" w:rsidRDefault="00633831" w:rsidP="00236FCB">
      <w:r>
        <w:separator/>
      </w:r>
    </w:p>
  </w:endnote>
  <w:endnote w:type="continuationSeparator" w:id="0">
    <w:p w:rsidR="00633831" w:rsidRDefault="00633831" w:rsidP="0023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8"/>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CB" w:rsidRDefault="001178B3">
    <w:pPr>
      <w:tabs>
        <w:tab w:val="right" w:pos="9026"/>
      </w:tabs>
      <w:suppressAutoHyphens/>
      <w:jc w:val="both"/>
    </w:pPr>
    <w:r>
      <w:rPr>
        <w:spacing w:val="-1"/>
        <w:sz w:val="20"/>
        <w:szCs w:val="20"/>
      </w:rPr>
      <w:t>01</w:t>
    </w:r>
    <w:r w:rsidR="00A40B9A">
      <w:rPr>
        <w:spacing w:val="-1"/>
        <w:sz w:val="20"/>
        <w:szCs w:val="20"/>
      </w:rPr>
      <w:t>.201</w:t>
    </w:r>
    <w:r>
      <w:rPr>
        <w:spacing w:val="-1"/>
        <w:sz w:val="20"/>
        <w:szCs w:val="20"/>
      </w:rPr>
      <w:t>8</w:t>
    </w:r>
    <w:r w:rsidR="00B26CF3">
      <w:rPr>
        <w:spacing w:val="-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31" w:rsidRDefault="00633831" w:rsidP="00236FCB">
      <w:r>
        <w:separator/>
      </w:r>
    </w:p>
  </w:footnote>
  <w:footnote w:type="continuationSeparator" w:id="0">
    <w:p w:rsidR="00633831" w:rsidRDefault="00633831" w:rsidP="0023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3927"/>
    <w:multiLevelType w:val="hybridMultilevel"/>
    <w:tmpl w:val="741E238C"/>
    <w:lvl w:ilvl="0" w:tplc="3018554A">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0711C">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56DD36">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ACFDA">
      <w:start w:val="1"/>
      <w:numFmt w:val="bullet"/>
      <w:lvlText w:val="•"/>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08AE8">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4D4D2">
      <w:start w:val="1"/>
      <w:numFmt w:val="bullet"/>
      <w:lvlText w:val="▪"/>
      <w:lvlJc w:val="left"/>
      <w:pPr>
        <w:ind w:left="259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C950E">
      <w:start w:val="1"/>
      <w:numFmt w:val="bullet"/>
      <w:lvlText w:val="•"/>
      <w:lvlJc w:val="left"/>
      <w:pPr>
        <w:ind w:left="331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8B83C">
      <w:start w:val="1"/>
      <w:numFmt w:val="bullet"/>
      <w:lvlText w:val="o"/>
      <w:lvlJc w:val="left"/>
      <w:pPr>
        <w:ind w:left="403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221BC">
      <w:start w:val="1"/>
      <w:numFmt w:val="bullet"/>
      <w:lvlText w:val="▪"/>
      <w:lvlJc w:val="left"/>
      <w:pPr>
        <w:ind w:left="475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58D9"/>
    <w:multiLevelType w:val="hybridMultilevel"/>
    <w:tmpl w:val="A02E6D7A"/>
    <w:lvl w:ilvl="0" w:tplc="477CC2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469EC">
      <w:start w:val="1"/>
      <w:numFmt w:val="lowerLetter"/>
      <w:lvlText w:val="%2)"/>
      <w:lvlJc w:val="left"/>
      <w:pPr>
        <w:tabs>
          <w:tab w:val="left" w:pos="360"/>
        </w:tabs>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AA286">
      <w:start w:val="1"/>
      <w:numFmt w:val="lowerRoman"/>
      <w:lvlText w:val="%3."/>
      <w:lvlJc w:val="left"/>
      <w:pPr>
        <w:tabs>
          <w:tab w:val="left" w:pos="360"/>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0D136">
      <w:start w:val="1"/>
      <w:numFmt w:val="decimal"/>
      <w:lvlText w:val="%4."/>
      <w:lvlJc w:val="left"/>
      <w:pPr>
        <w:tabs>
          <w:tab w:val="left" w:pos="360"/>
        </w:tabs>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C4B08">
      <w:start w:val="1"/>
      <w:numFmt w:val="lowerLetter"/>
      <w:lvlText w:val="%5)"/>
      <w:lvlJc w:val="left"/>
      <w:pPr>
        <w:tabs>
          <w:tab w:val="left" w:pos="360"/>
        </w:tabs>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AFF70">
      <w:start w:val="1"/>
      <w:numFmt w:val="lowerRoman"/>
      <w:lvlText w:val="%6."/>
      <w:lvlJc w:val="left"/>
      <w:pPr>
        <w:tabs>
          <w:tab w:val="left" w:pos="36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32091A">
      <w:start w:val="1"/>
      <w:numFmt w:val="decimal"/>
      <w:lvlText w:val="%7."/>
      <w:lvlJc w:val="left"/>
      <w:pPr>
        <w:tabs>
          <w:tab w:val="left" w:pos="360"/>
        </w:tabs>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A5E26">
      <w:start w:val="1"/>
      <w:numFmt w:val="lowerLetter"/>
      <w:lvlText w:val="%8)"/>
      <w:lvlJc w:val="left"/>
      <w:pPr>
        <w:tabs>
          <w:tab w:val="left" w:pos="360"/>
        </w:tabs>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0C0">
      <w:start w:val="1"/>
      <w:numFmt w:val="lowerRoman"/>
      <w:lvlText w:val="%9."/>
      <w:lvlJc w:val="left"/>
      <w:pPr>
        <w:tabs>
          <w:tab w:val="left" w:pos="36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336FC3"/>
    <w:multiLevelType w:val="hybridMultilevel"/>
    <w:tmpl w:val="A9663438"/>
    <w:lvl w:ilvl="0" w:tplc="B366CCDA">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46768">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65450">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4EB5A">
      <w:start w:val="1"/>
      <w:numFmt w:val="bullet"/>
      <w:lvlText w:val="•"/>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071A2">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27C9E">
      <w:start w:val="1"/>
      <w:numFmt w:val="bullet"/>
      <w:lvlText w:val="▪"/>
      <w:lvlJc w:val="left"/>
      <w:pPr>
        <w:ind w:left="259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E2B1E">
      <w:start w:val="1"/>
      <w:numFmt w:val="bullet"/>
      <w:lvlText w:val="•"/>
      <w:lvlJc w:val="left"/>
      <w:pPr>
        <w:ind w:left="331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25C7E">
      <w:start w:val="1"/>
      <w:numFmt w:val="bullet"/>
      <w:lvlText w:val="o"/>
      <w:lvlJc w:val="left"/>
      <w:pPr>
        <w:ind w:left="403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038AE">
      <w:start w:val="1"/>
      <w:numFmt w:val="bullet"/>
      <w:lvlText w:val="▪"/>
      <w:lvlJc w:val="left"/>
      <w:pPr>
        <w:ind w:left="475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7E94C45"/>
    <w:multiLevelType w:val="hybridMultilevel"/>
    <w:tmpl w:val="7E727EE4"/>
    <w:lvl w:ilvl="0" w:tplc="638EA000">
      <w:start w:val="1"/>
      <w:numFmt w:val="lowerLetter"/>
      <w:lvlText w:val="%1."/>
      <w:lvlJc w:val="left"/>
      <w:pPr>
        <w:ind w:left="72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00636">
      <w:start w:val="1"/>
      <w:numFmt w:val="lowerLetter"/>
      <w:lvlText w:val="%2."/>
      <w:lvlJc w:val="left"/>
      <w:pPr>
        <w:tabs>
          <w:tab w:val="left" w:pos="720"/>
        </w:tabs>
        <w:ind w:left="144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8AFDC">
      <w:start w:val="1"/>
      <w:numFmt w:val="lowerRoman"/>
      <w:lvlText w:val="%3."/>
      <w:lvlJc w:val="left"/>
      <w:pPr>
        <w:tabs>
          <w:tab w:val="left" w:pos="720"/>
        </w:tabs>
        <w:ind w:left="2160" w:hanging="5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F8B08E">
      <w:start w:val="1"/>
      <w:numFmt w:val="decimal"/>
      <w:lvlText w:val="%4."/>
      <w:lvlJc w:val="left"/>
      <w:pPr>
        <w:tabs>
          <w:tab w:val="left" w:pos="720"/>
        </w:tabs>
        <w:ind w:left="288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64638">
      <w:start w:val="1"/>
      <w:numFmt w:val="lowerLetter"/>
      <w:lvlText w:val="%5."/>
      <w:lvlJc w:val="left"/>
      <w:pPr>
        <w:tabs>
          <w:tab w:val="left" w:pos="720"/>
        </w:tabs>
        <w:ind w:left="360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3AB51C">
      <w:start w:val="1"/>
      <w:numFmt w:val="lowerRoman"/>
      <w:lvlText w:val="%6."/>
      <w:lvlJc w:val="left"/>
      <w:pPr>
        <w:tabs>
          <w:tab w:val="left" w:pos="720"/>
        </w:tabs>
        <w:ind w:left="4320" w:hanging="5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A1320">
      <w:start w:val="1"/>
      <w:numFmt w:val="decimal"/>
      <w:lvlText w:val="%7."/>
      <w:lvlJc w:val="left"/>
      <w:pPr>
        <w:tabs>
          <w:tab w:val="left" w:pos="720"/>
        </w:tabs>
        <w:ind w:left="504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C469F8">
      <w:start w:val="1"/>
      <w:numFmt w:val="lowerLetter"/>
      <w:lvlText w:val="%8."/>
      <w:lvlJc w:val="left"/>
      <w:pPr>
        <w:tabs>
          <w:tab w:val="left" w:pos="720"/>
        </w:tabs>
        <w:ind w:left="5760" w:hanging="5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7CDDE6">
      <w:start w:val="1"/>
      <w:numFmt w:val="lowerRoman"/>
      <w:lvlText w:val="%9."/>
      <w:lvlJc w:val="left"/>
      <w:pPr>
        <w:tabs>
          <w:tab w:val="left" w:pos="720"/>
        </w:tabs>
        <w:ind w:left="6480" w:hanging="5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A610B55"/>
    <w:multiLevelType w:val="hybridMultilevel"/>
    <w:tmpl w:val="F118E6AA"/>
    <w:lvl w:ilvl="0" w:tplc="99D288DE">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E9444">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4A98A">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BEEE3A">
      <w:start w:val="1"/>
      <w:numFmt w:val="bullet"/>
      <w:lvlText w:val="•"/>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E21CEA">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840B8">
      <w:start w:val="1"/>
      <w:numFmt w:val="bullet"/>
      <w:lvlText w:val="▪"/>
      <w:lvlJc w:val="left"/>
      <w:pPr>
        <w:ind w:left="259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229AA">
      <w:start w:val="1"/>
      <w:numFmt w:val="bullet"/>
      <w:lvlText w:val="•"/>
      <w:lvlJc w:val="left"/>
      <w:pPr>
        <w:ind w:left="331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0218">
      <w:start w:val="1"/>
      <w:numFmt w:val="bullet"/>
      <w:lvlText w:val="o"/>
      <w:lvlJc w:val="left"/>
      <w:pPr>
        <w:ind w:left="403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5EF8F8">
      <w:start w:val="1"/>
      <w:numFmt w:val="bullet"/>
      <w:lvlText w:val="▪"/>
      <w:lvlJc w:val="left"/>
      <w:pPr>
        <w:ind w:left="475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8B66810"/>
    <w:multiLevelType w:val="hybridMultilevel"/>
    <w:tmpl w:val="E66AF99E"/>
    <w:lvl w:ilvl="0" w:tplc="DB642878">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B89090">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02A96">
      <w:start w:val="1"/>
      <w:numFmt w:val="bullet"/>
      <w:lvlText w:val="▪"/>
      <w:lvlJc w:val="left"/>
      <w:pPr>
        <w:ind w:left="648"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6DA42">
      <w:start w:val="1"/>
      <w:numFmt w:val="bullet"/>
      <w:lvlText w:val="•"/>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8CB56">
      <w:start w:val="1"/>
      <w:numFmt w:val="bullet"/>
      <w:lvlText w:val="o"/>
      <w:lvlJc w:val="left"/>
      <w:pPr>
        <w:ind w:left="2088"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E5152">
      <w:start w:val="1"/>
      <w:numFmt w:val="bullet"/>
      <w:lvlText w:val="▪"/>
      <w:lvlJc w:val="left"/>
      <w:pPr>
        <w:ind w:left="259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1C0E08">
      <w:start w:val="1"/>
      <w:numFmt w:val="bullet"/>
      <w:lvlText w:val="•"/>
      <w:lvlJc w:val="left"/>
      <w:pPr>
        <w:ind w:left="331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134E">
      <w:start w:val="1"/>
      <w:numFmt w:val="bullet"/>
      <w:lvlText w:val="o"/>
      <w:lvlJc w:val="left"/>
      <w:pPr>
        <w:ind w:left="403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62E516">
      <w:start w:val="1"/>
      <w:numFmt w:val="bullet"/>
      <w:lvlText w:val="▪"/>
      <w:lvlJc w:val="left"/>
      <w:pPr>
        <w:ind w:left="4752" w:hanging="20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3"/>
    <w:lvlOverride w:ilvl="0">
      <w:lvl w:ilvl="0" w:tplc="638EA000">
        <w:start w:val="1"/>
        <w:numFmt w:val="lowerLetter"/>
        <w:lvlText w:val="%1."/>
        <w:lvlJc w:val="left"/>
        <w:pPr>
          <w:ind w:left="72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B00636">
        <w:start w:val="1"/>
        <w:numFmt w:val="lowerLetter"/>
        <w:lvlText w:val="%2."/>
        <w:lvlJc w:val="left"/>
        <w:pPr>
          <w:tabs>
            <w:tab w:val="left" w:pos="720"/>
          </w:tabs>
          <w:ind w:left="144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98AFDC">
        <w:start w:val="1"/>
        <w:numFmt w:val="lowerRoman"/>
        <w:lvlText w:val="%3."/>
        <w:lvlJc w:val="left"/>
        <w:pPr>
          <w:tabs>
            <w:tab w:val="left" w:pos="720"/>
          </w:tabs>
          <w:ind w:left="2160"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F8B08E">
        <w:start w:val="1"/>
        <w:numFmt w:val="decimal"/>
        <w:lvlText w:val="%4."/>
        <w:lvlJc w:val="left"/>
        <w:pPr>
          <w:tabs>
            <w:tab w:val="left" w:pos="720"/>
          </w:tabs>
          <w:ind w:left="288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A64638">
        <w:start w:val="1"/>
        <w:numFmt w:val="lowerLetter"/>
        <w:lvlText w:val="%5."/>
        <w:lvlJc w:val="left"/>
        <w:pPr>
          <w:tabs>
            <w:tab w:val="left" w:pos="720"/>
          </w:tabs>
          <w:ind w:left="360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3AB51C">
        <w:start w:val="1"/>
        <w:numFmt w:val="lowerRoman"/>
        <w:lvlText w:val="%6."/>
        <w:lvlJc w:val="left"/>
        <w:pPr>
          <w:tabs>
            <w:tab w:val="left" w:pos="720"/>
          </w:tabs>
          <w:ind w:left="4320"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CA1320">
        <w:start w:val="1"/>
        <w:numFmt w:val="decimal"/>
        <w:lvlText w:val="%7."/>
        <w:lvlJc w:val="left"/>
        <w:pPr>
          <w:tabs>
            <w:tab w:val="left" w:pos="720"/>
          </w:tabs>
          <w:ind w:left="504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C469F8">
        <w:start w:val="1"/>
        <w:numFmt w:val="lowerLetter"/>
        <w:lvlText w:val="%8."/>
        <w:lvlJc w:val="left"/>
        <w:pPr>
          <w:tabs>
            <w:tab w:val="left" w:pos="720"/>
          </w:tabs>
          <w:ind w:left="576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7CDDE6">
        <w:start w:val="1"/>
        <w:numFmt w:val="lowerRoman"/>
        <w:lvlText w:val="%9."/>
        <w:lvlJc w:val="left"/>
        <w:pPr>
          <w:tabs>
            <w:tab w:val="left" w:pos="720"/>
          </w:tabs>
          <w:ind w:left="6480" w:hanging="5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B"/>
    <w:rsid w:val="001016AA"/>
    <w:rsid w:val="001020D0"/>
    <w:rsid w:val="001178B3"/>
    <w:rsid w:val="00166A16"/>
    <w:rsid w:val="00210566"/>
    <w:rsid w:val="00236FCB"/>
    <w:rsid w:val="00291F9C"/>
    <w:rsid w:val="003A7811"/>
    <w:rsid w:val="003D2D9A"/>
    <w:rsid w:val="004E0070"/>
    <w:rsid w:val="005B586F"/>
    <w:rsid w:val="006045BC"/>
    <w:rsid w:val="00633831"/>
    <w:rsid w:val="00661575"/>
    <w:rsid w:val="00773A78"/>
    <w:rsid w:val="007E38D1"/>
    <w:rsid w:val="00835802"/>
    <w:rsid w:val="0093758E"/>
    <w:rsid w:val="009B3AC4"/>
    <w:rsid w:val="00A24A27"/>
    <w:rsid w:val="00A40B9A"/>
    <w:rsid w:val="00A55404"/>
    <w:rsid w:val="00B26CF3"/>
    <w:rsid w:val="00BE4F12"/>
    <w:rsid w:val="00DB19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B299"/>
  <w15:docId w15:val="{9D223E1F-053F-450B-9F4F-2A6D7637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6FCB"/>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FCB"/>
    <w:rPr>
      <w:u w:val="single"/>
    </w:rPr>
  </w:style>
  <w:style w:type="paragraph" w:customStyle="1" w:styleId="HeaderFooter">
    <w:name w:val="Header &amp; Footer"/>
    <w:rsid w:val="00236FCB"/>
    <w:pPr>
      <w:tabs>
        <w:tab w:val="right" w:pos="9020"/>
      </w:tabs>
    </w:pPr>
    <w:rPr>
      <w:rFonts w:ascii="Helvetica Neue" w:hAnsi="Helvetica Neue" w:cs="Arial Unicode MS"/>
      <w:color w:val="000000"/>
      <w:sz w:val="24"/>
      <w:szCs w:val="24"/>
    </w:rPr>
  </w:style>
  <w:style w:type="paragraph" w:customStyle="1" w:styleId="Default">
    <w:name w:val="Default"/>
    <w:rsid w:val="00236FCB"/>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236FCB"/>
    <w:rPr>
      <w:sz w:val="20"/>
      <w:szCs w:val="20"/>
    </w:rPr>
  </w:style>
  <w:style w:type="character" w:customStyle="1" w:styleId="CommentTextChar">
    <w:name w:val="Comment Text Char"/>
    <w:basedOn w:val="DefaultParagraphFont"/>
    <w:link w:val="CommentText"/>
    <w:uiPriority w:val="99"/>
    <w:semiHidden/>
    <w:rsid w:val="00236FCB"/>
    <w:rPr>
      <w:rFonts w:cs="Arial Unicode MS"/>
      <w:color w:val="000000"/>
      <w:u w:color="000000"/>
      <w:lang w:val="en-US"/>
    </w:rPr>
  </w:style>
  <w:style w:type="character" w:styleId="CommentReference">
    <w:name w:val="annotation reference"/>
    <w:basedOn w:val="DefaultParagraphFont"/>
    <w:uiPriority w:val="99"/>
    <w:semiHidden/>
    <w:unhideWhenUsed/>
    <w:rsid w:val="00236FCB"/>
    <w:rPr>
      <w:sz w:val="16"/>
      <w:szCs w:val="16"/>
    </w:rPr>
  </w:style>
  <w:style w:type="paragraph" w:styleId="BalloonText">
    <w:name w:val="Balloon Text"/>
    <w:basedOn w:val="Normal"/>
    <w:link w:val="BalloonTextChar"/>
    <w:uiPriority w:val="99"/>
    <w:semiHidden/>
    <w:unhideWhenUsed/>
    <w:rsid w:val="00210566"/>
    <w:rPr>
      <w:rFonts w:ascii="Tahoma" w:hAnsi="Tahoma" w:cs="Tahoma"/>
      <w:sz w:val="16"/>
      <w:szCs w:val="16"/>
    </w:rPr>
  </w:style>
  <w:style w:type="character" w:customStyle="1" w:styleId="BalloonTextChar">
    <w:name w:val="Balloon Text Char"/>
    <w:basedOn w:val="DefaultParagraphFont"/>
    <w:link w:val="BalloonText"/>
    <w:uiPriority w:val="99"/>
    <w:semiHidden/>
    <w:rsid w:val="00210566"/>
    <w:rPr>
      <w:rFonts w:ascii="Tahoma" w:hAnsi="Tahoma" w:cs="Tahoma"/>
      <w:color w:val="000000"/>
      <w:sz w:val="16"/>
      <w:szCs w:val="16"/>
      <w:u w:color="000000"/>
      <w:lang w:val="en-US"/>
    </w:rPr>
  </w:style>
  <w:style w:type="table" w:styleId="TableGrid">
    <w:name w:val="Table Grid"/>
    <w:basedOn w:val="TableNormal"/>
    <w:uiPriority w:val="59"/>
    <w:rsid w:val="002105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0566"/>
    <w:pPr>
      <w:ind w:left="720"/>
      <w:contextualSpacing/>
    </w:pPr>
  </w:style>
  <w:style w:type="paragraph" w:styleId="Header">
    <w:name w:val="header"/>
    <w:basedOn w:val="Normal"/>
    <w:link w:val="HeaderChar"/>
    <w:uiPriority w:val="99"/>
    <w:unhideWhenUsed/>
    <w:rsid w:val="00A40B9A"/>
    <w:pPr>
      <w:tabs>
        <w:tab w:val="center" w:pos="4153"/>
        <w:tab w:val="right" w:pos="8306"/>
      </w:tabs>
    </w:pPr>
  </w:style>
  <w:style w:type="character" w:customStyle="1" w:styleId="HeaderChar">
    <w:name w:val="Header Char"/>
    <w:basedOn w:val="DefaultParagraphFont"/>
    <w:link w:val="Header"/>
    <w:uiPriority w:val="99"/>
    <w:rsid w:val="00A40B9A"/>
    <w:rPr>
      <w:rFonts w:cs="Arial Unicode MS"/>
      <w:color w:val="000000"/>
      <w:sz w:val="24"/>
      <w:szCs w:val="24"/>
      <w:u w:color="000000"/>
      <w:lang w:val="en-US"/>
    </w:rPr>
  </w:style>
  <w:style w:type="paragraph" w:styleId="Footer">
    <w:name w:val="footer"/>
    <w:basedOn w:val="Normal"/>
    <w:link w:val="FooterChar"/>
    <w:uiPriority w:val="99"/>
    <w:unhideWhenUsed/>
    <w:rsid w:val="00A40B9A"/>
    <w:pPr>
      <w:tabs>
        <w:tab w:val="center" w:pos="4153"/>
        <w:tab w:val="right" w:pos="8306"/>
      </w:tabs>
    </w:pPr>
  </w:style>
  <w:style w:type="character" w:customStyle="1" w:styleId="FooterChar">
    <w:name w:val="Footer Char"/>
    <w:basedOn w:val="DefaultParagraphFont"/>
    <w:link w:val="Footer"/>
    <w:uiPriority w:val="99"/>
    <w:rsid w:val="00A40B9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6E87-7666-4197-A8E9-FC43FE9A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WONG, Michele [ISE]</cp:lastModifiedBy>
  <cp:revision>2</cp:revision>
  <dcterms:created xsi:type="dcterms:W3CDTF">2018-02-07T07:41:00Z</dcterms:created>
  <dcterms:modified xsi:type="dcterms:W3CDTF">2018-02-07T07:41:00Z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